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微软雅黑" w:hAnsi="微软雅黑" w:eastAsia="微软雅黑"/>
          <w:b/>
          <w:sz w:val="24"/>
        </w:rPr>
      </w:pPr>
      <w:r/>
      <w:bookmarkStart w:id="0" w:name="_Toc311795393"/>
      <w:bookmarkEnd w:id="0"/>
      <w:r/>
      <w:bookmarkStart w:id="1" w:name="_Toc510240433"/>
      <w:bookmarkEnd w:id="1"/>
      <w:r/>
      <w:r>
        <w:rPr>
          <w:rFonts w:ascii="微软雅黑" w:hAnsi="微软雅黑" w:eastAsia="微软雅黑"/>
          <w:b/>
          <w:sz w:val="24"/>
        </w:rPr>
      </w:r>
    </w:p>
    <w:p>
      <w:pPr>
        <w:spacing/>
        <w:jc w:val="center"/>
        <w:rPr>
          <w:rFonts w:ascii="微软雅黑" w:hAnsi="微软雅黑" w:eastAsia="微软雅黑"/>
          <w:b/>
          <w:sz w:val="44"/>
        </w:rPr>
      </w:pPr>
      <w:r>
        <w:rPr>
          <w:rFonts w:ascii="微软雅黑" w:hAnsi="微软雅黑" w:eastAsia="微软雅黑"/>
          <w:b/>
          <w:sz w:val="44"/>
        </w:rPr>
      </w:r>
    </w:p>
    <w:p>
      <w:pPr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</w:r>
    </w:p>
    <w:p>
      <w:pPr>
        <w:spacing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48"/>
          <w:szCs w:val="48"/>
        </w:rPr>
        <w:t xml:space="preserve"> </w:t>
      </w:r>
      <w:r>
        <w:rPr>
          <w:rFonts w:ascii="微软雅黑" w:hAnsi="微软雅黑" w:eastAsia="微软雅黑" w:hint="eastAsia"/>
          <w:b/>
          <w:sz w:val="48"/>
          <w:szCs w:val="48"/>
        </w:rPr>
        <w:t>全自动割胶退</w:t>
      </w:r>
      <w:r>
        <w:rPr>
          <w:rFonts w:ascii="微软雅黑" w:hAnsi="微软雅黑" w:eastAsia="微软雅黑"/>
          <w:b/>
          <w:sz w:val="48"/>
          <w:szCs w:val="48"/>
        </w:rPr>
        <w:t>Pin</w:t>
      </w:r>
      <w:r>
        <w:rPr>
          <w:rFonts w:ascii="微软雅黑" w:hAnsi="微软雅黑" w:eastAsia="微软雅黑" w:hint="eastAsia"/>
          <w:b/>
          <w:sz w:val="48"/>
          <w:szCs w:val="48"/>
        </w:rPr>
        <w:t>机</w:t>
      </w:r>
      <w:r>
        <w:rPr>
          <w:rFonts w:ascii="微软雅黑" w:hAnsi="微软雅黑" w:eastAsia="微软雅黑"/>
          <w:b/>
          <w:sz w:val="36"/>
          <w:szCs w:val="36"/>
        </w:rPr>
      </w:r>
    </w:p>
    <w:p>
      <w:pPr>
        <w:spacing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</w:r>
    </w:p>
    <w:p>
      <w:pPr>
        <w:spacing/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ascii="微软雅黑" w:hAnsi="微软雅黑" w:eastAsia="微软雅黑" w:hint="eastAsia"/>
          <w:b/>
          <w:sz w:val="48"/>
          <w:szCs w:val="48"/>
        </w:rPr>
        <w:t>规格说明书</w:t>
      </w:r>
      <w:r>
        <w:rPr>
          <w:rFonts w:ascii="微软雅黑" w:hAnsi="微软雅黑" w:eastAsia="微软雅黑"/>
          <w:b/>
          <w:sz w:val="48"/>
          <w:szCs w:val="48"/>
        </w:rPr>
      </w:r>
    </w:p>
    <w:p>
      <w:pPr>
        <w:spacing/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ascii="微软雅黑" w:hAnsi="微软雅黑" w:eastAsia="微软雅黑"/>
          <w:b/>
          <w:sz w:val="48"/>
          <w:szCs w:val="48"/>
        </w:rPr>
      </w:r>
    </w:p>
    <w:p>
      <w:pPr>
        <w:rPr>
          <w:rFonts w:ascii="微软雅黑" w:hAnsi="微软雅黑" w:eastAsia="微软雅黑"/>
          <w:b/>
          <w:sz w:val="48"/>
          <w:szCs w:val="48"/>
        </w:rPr>
      </w:pPr>
      <w:r>
        <w:rPr>
          <w:rFonts w:ascii="微软雅黑" w:hAnsi="微软雅黑" w:eastAsia="微软雅黑"/>
          <w:b/>
          <w:sz w:val="48"/>
          <w:szCs w:val="48"/>
        </w:rPr>
      </w:r>
    </w:p>
    <w:p>
      <w:pPr>
        <w:spacing/>
        <w:jc w:val="center"/>
        <w:rPr>
          <w:rFonts w:ascii="微软雅黑" w:hAnsi="微软雅黑" w:eastAsia="微软雅黑"/>
          <w:b/>
          <w:sz w:val="36"/>
        </w:rPr>
      </w:pPr>
      <w:r/>
      <w:bookmarkStart w:id="2" w:name="_Toc514827723"/>
      <w:bookmarkEnd w:id="2"/>
      <w:r/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6124575" cy="2971800"/>
            <wp:effectExtent l="0" t="0" r="0" b="0"/>
            <wp:docPr id="1" name="图片模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模式1"/>
                    <pic:cNvPicPr>
                      <a:extLst>
                        <a:ext uri="smNativeData">
                          <sm:smNativeData xmlns:sm="smo" val="SMDATA_12_j1v+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AgAAAAAgAAAAAAAAAAAAAAAAAAAAgAAAACA//8AAAAAAgAAAACA//+tJQAASBI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971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rFonts w:ascii="微软雅黑" w:hAnsi="微软雅黑" w:eastAsia="微软雅黑"/>
          <w:b/>
          <w:sz w:val="36"/>
        </w:rPr>
      </w:r>
    </w:p>
    <w:p>
      <w:pPr>
        <w:spacing/>
        <w:jc w:val="left"/>
        <w:rPr>
          <w:rFonts w:ascii="微软雅黑" w:hAnsi="微软雅黑" w:eastAsia="微软雅黑"/>
          <w:b/>
          <w:sz w:val="11"/>
          <w:szCs w:val="11"/>
        </w:rPr>
      </w:pPr>
      <w:r>
        <w:rPr>
          <w:rFonts w:ascii="微软雅黑" w:hAnsi="微软雅黑" w:eastAsia="微软雅黑"/>
          <w:b/>
          <w:sz w:val="11"/>
          <w:szCs w:val="11"/>
        </w:rPr>
      </w:r>
    </w:p>
    <w:p>
      <w:pPr>
        <w:spacing/>
        <w:jc w:val="left"/>
        <w:rPr>
          <w:rFonts w:ascii="微软雅黑" w:hAnsi="微软雅黑" w:eastAsia="微软雅黑"/>
          <w:b/>
          <w:sz w:val="11"/>
          <w:szCs w:val="11"/>
        </w:rPr>
      </w:pPr>
      <w:r>
        <w:rPr>
          <w:rFonts w:ascii="微软雅黑" w:hAnsi="微软雅黑" w:eastAsia="微软雅黑"/>
          <w:b/>
          <w:sz w:val="11"/>
          <w:szCs w:val="11"/>
        </w:rPr>
      </w:r>
    </w:p>
    <w:p>
      <w:pPr>
        <w:spacing/>
        <w:jc w:val="left"/>
        <w:rPr>
          <w:rFonts w:ascii="微软雅黑" w:hAnsi="微软雅黑" w:eastAsia="微软雅黑"/>
          <w:b/>
          <w:sz w:val="11"/>
          <w:szCs w:val="11"/>
        </w:rPr>
      </w:pPr>
      <w:r>
        <w:rPr>
          <w:rFonts w:ascii="微软雅黑" w:hAnsi="微软雅黑" w:eastAsia="微软雅黑"/>
          <w:b/>
          <w:sz w:val="11"/>
          <w:szCs w:val="11"/>
        </w:rPr>
      </w:r>
    </w:p>
    <w:p>
      <w:pPr>
        <w:spacing/>
        <w:jc w:val="left"/>
        <w:rPr>
          <w:rFonts w:ascii="微软雅黑" w:hAnsi="微软雅黑" w:eastAsia="微软雅黑"/>
          <w:b/>
          <w:sz w:val="11"/>
          <w:szCs w:val="11"/>
        </w:rPr>
      </w:pPr>
      <w:r>
        <w:rPr>
          <w:rFonts w:ascii="微软雅黑" w:hAnsi="微软雅黑" w:eastAsia="微软雅黑"/>
          <w:b/>
          <w:sz w:val="11"/>
          <w:szCs w:val="11"/>
        </w:rPr>
      </w:r>
    </w:p>
    <w:p>
      <w:pPr>
        <w:spacing/>
        <w:jc w:val="left"/>
        <w:rPr>
          <w:rFonts w:ascii="微软雅黑" w:hAnsi="微软雅黑" w:eastAsia="微软雅黑"/>
          <w:b/>
          <w:sz w:val="11"/>
          <w:szCs w:val="11"/>
        </w:rPr>
      </w:pPr>
      <w:r>
        <w:rPr>
          <w:rFonts w:ascii="微软雅黑" w:hAnsi="微软雅黑" w:eastAsia="微软雅黑"/>
          <w:b/>
          <w:sz w:val="11"/>
          <w:szCs w:val="11"/>
        </w:rPr>
      </w:r>
    </w:p>
    <w:p>
      <w:pPr>
        <w:spacing/>
        <w:jc w:val="left"/>
        <w:rPr>
          <w:rFonts w:ascii="微软雅黑" w:hAnsi="微软雅黑" w:eastAsia="微软雅黑"/>
          <w:b/>
          <w:sz w:val="11"/>
          <w:szCs w:val="11"/>
        </w:rPr>
      </w:pPr>
      <w:r>
        <w:rPr>
          <w:rFonts w:ascii="微软雅黑" w:hAnsi="微软雅黑" w:eastAsia="微软雅黑"/>
          <w:b/>
          <w:sz w:val="11"/>
          <w:szCs w:val="11"/>
        </w:rPr>
      </w:r>
    </w:p>
    <w:p>
      <w:pPr>
        <w:spacing/>
        <w:jc w:val="left"/>
        <w:rPr>
          <w:rFonts w:ascii="微软雅黑" w:hAnsi="微软雅黑" w:eastAsia="微软雅黑"/>
          <w:b/>
          <w:sz w:val="11"/>
          <w:szCs w:val="11"/>
        </w:rPr>
      </w:pPr>
      <w:r>
        <w:rPr>
          <w:rFonts w:ascii="微软雅黑" w:hAnsi="微软雅黑" w:eastAsia="微软雅黑"/>
          <w:b/>
          <w:sz w:val="11"/>
          <w:szCs w:val="11"/>
        </w:rPr>
      </w:r>
    </w:p>
    <w:p>
      <w:pPr>
        <w:spacing/>
        <w:jc w:val="left"/>
        <w:rPr>
          <w:rFonts w:ascii="微软雅黑" w:hAnsi="微软雅黑" w:eastAsia="微软雅黑"/>
          <w:b/>
          <w:sz w:val="11"/>
          <w:szCs w:val="11"/>
        </w:rPr>
      </w:pPr>
      <w:r>
        <w:rPr>
          <w:rFonts w:ascii="微软雅黑" w:hAnsi="微软雅黑" w:eastAsia="微软雅黑"/>
          <w:b/>
          <w:sz w:val="11"/>
          <w:szCs w:val="11"/>
        </w:rPr>
      </w:r>
    </w:p>
    <w:p>
      <w:pPr>
        <w:spacing/>
        <w:jc w:val="right"/>
        <w:rPr>
          <w:rFonts w:ascii="微软雅黑" w:hAnsi="微软雅黑" w:eastAsia="微软雅黑"/>
          <w:b/>
          <w:sz w:val="36"/>
        </w:rPr>
      </w:pPr>
      <w:r>
        <w:rPr>
          <w:rFonts w:ascii="微软雅黑" w:hAnsi="微软雅黑" w:eastAsia="微软雅黑"/>
          <w:b/>
          <w:sz w:val="11"/>
          <w:szCs w:val="11"/>
        </w:rPr>
        <w:t>202009V3</w:t>
      </w:r>
      <w:r>
        <w:rPr>
          <w:rFonts w:ascii="微软雅黑" w:hAnsi="微软雅黑" w:eastAsia="微软雅黑"/>
          <w:b/>
          <w:sz w:val="36"/>
        </w:rPr>
      </w:r>
    </w:p>
    <w:tbl>
      <w:tblPr>
        <w:jc w:val="left"/>
        <w:tblInd w:w="-108" w:type="dxa"/>
        <w:tblW w:w="9854" w:type="dxa"/>
      </w:tblPr>
      <w:tblGrid>
        <w:gridCol w:w="9854"/>
      </w:tblGrid>
      <w:tr>
        <w:trPr>
          <w:trHeight w:val="0" w:hRule="auto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 w:hint="eastAsia"/>
                <w:sz w:val="36"/>
                <w:szCs w:val="36"/>
              </w:rPr>
              <w:t>前</w:t>
            </w:r>
            <w:r>
              <w:rPr>
                <w:rFonts w:ascii="微软雅黑" w:hAnsi="微软雅黑" w:eastAsia="微软雅黑"/>
                <w:sz w:val="36"/>
                <w:szCs w:val="36"/>
              </w:rPr>
              <w:t xml:space="preserve"> </w:t>
            </w:r>
            <w:r>
              <w:rPr>
                <w:rFonts w:ascii="微软雅黑" w:hAnsi="微软雅黑" w:eastAsia="微软雅黑" w:hint="eastAsia"/>
                <w:sz w:val="36"/>
                <w:szCs w:val="36"/>
              </w:rPr>
              <w:t>言</w:t>
            </w:r>
            <w:r>
              <w:rPr>
                <w:rFonts w:ascii="微软雅黑" w:hAnsi="微软雅黑" w:eastAsia="微软雅黑"/>
                <w:sz w:val="36"/>
                <w:szCs w:val="36"/>
              </w:rPr>
            </w:r>
          </w:p>
        </w:tc>
      </w:tr>
      <w:tr>
        <w:trPr>
          <w:trHeight w:val="0" w:hRule="auto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1680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 w:hint="eastAsia"/>
                <w:sz w:val="24"/>
              </w:rPr>
              <w:t>此规格说明书（以下简称说明书）由深圳市克鲁斯机器人科技有限公司编写</w:t>
            </w:r>
            <w:r>
              <w:rPr>
                <w:rFonts w:ascii="微软雅黑" w:hAnsi="微软雅黑" w:hint="eastAsia"/>
                <w:sz w:val="24"/>
              </w:rPr>
              <w:t>，</w:t>
            </w:r>
            <w:r>
              <w:rPr>
                <w:rFonts w:ascii="微软雅黑" w:hAnsi="微软雅黑" w:eastAsia="微软雅黑" w:hint="eastAsia"/>
                <w:sz w:val="24"/>
              </w:rPr>
              <w:t>未经许可严禁转载或传播本书内容。</w:t>
            </w:r>
            <w:r>
              <w:rPr>
                <w:rFonts w:ascii="微软雅黑" w:hAnsi="微软雅黑" w:eastAsia="微软雅黑"/>
                <w:sz w:val="24"/>
              </w:rPr>
            </w:r>
          </w:p>
          <w:p>
            <w:pPr>
              <w:ind w:firstLine="31680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 w:hint="eastAsia"/>
                <w:sz w:val="24"/>
              </w:rPr>
              <w:t>在使用本设备前，请先阅读并理解本说明书，妥善保管本说明书。</w:t>
            </w:r>
            <w:r>
              <w:rPr>
                <w:rFonts w:ascii="微软雅黑" w:hAnsi="微软雅黑" w:eastAsia="微软雅黑"/>
                <w:sz w:val="24"/>
              </w:rPr>
            </w:r>
          </w:p>
          <w:p>
            <w:pPr>
              <w:ind w:firstLine="31680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 w:hint="eastAsia"/>
                <w:sz w:val="24"/>
              </w:rPr>
              <w:t>如因设备改良</w:t>
            </w:r>
            <w:r>
              <w:rPr>
                <w:rFonts w:ascii="微软雅黑" w:hAnsi="微软雅黑" w:hint="eastAsia"/>
                <w:sz w:val="24"/>
              </w:rPr>
              <w:t>，</w:t>
            </w:r>
            <w:r>
              <w:rPr>
                <w:rFonts w:ascii="微软雅黑" w:hAnsi="微软雅黑" w:eastAsia="微软雅黑" w:hint="eastAsia"/>
                <w:sz w:val="24"/>
              </w:rPr>
              <w:t>说明书的相关内容若有变动</w:t>
            </w:r>
            <w:r>
              <w:rPr>
                <w:rFonts w:ascii="微软雅黑" w:hAnsi="微软雅黑" w:hint="eastAsia"/>
                <w:sz w:val="24"/>
              </w:rPr>
              <w:t>，</w:t>
            </w:r>
            <w:r>
              <w:rPr>
                <w:rFonts w:ascii="微软雅黑" w:hAnsi="微软雅黑" w:eastAsia="微软雅黑" w:hint="eastAsia"/>
                <w:sz w:val="24"/>
              </w:rPr>
              <w:t>恕不另行通知。</w:t>
            </w:r>
            <w:r>
              <w:rPr>
                <w:rFonts w:ascii="微软雅黑" w:hAnsi="微软雅黑" w:eastAsia="微软雅黑"/>
                <w:sz w:val="24"/>
              </w:rPr>
            </w:r>
          </w:p>
          <w:p>
            <w:pPr>
              <w:ind w:firstLine="31680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 w:hint="eastAsia"/>
                <w:sz w:val="24"/>
              </w:rPr>
              <w:t>在使用本设备之前，请您仔细阅读本说明书，并请妥善保管，以备日后参阅。</w:t>
            </w:r>
            <w:r>
              <w:rPr>
                <w:rFonts w:ascii="微软雅黑" w:hAnsi="微软雅黑" w:eastAsia="微软雅黑"/>
                <w:sz w:val="24"/>
              </w:rPr>
            </w:r>
          </w:p>
          <w:p>
            <w:pPr>
              <w:ind w:firstLine="31680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 w:hint="eastAsia"/>
                <w:sz w:val="24"/>
              </w:rPr>
              <w:t>如有图片与设备有偏差之处，以设备为准。</w:t>
            </w:r>
            <w:r>
              <w:rPr>
                <w:rFonts w:ascii="微软雅黑" w:hAnsi="微软雅黑" w:eastAsia="微软雅黑"/>
                <w:sz w:val="24"/>
              </w:rPr>
            </w:r>
          </w:p>
          <w:p>
            <w:pPr>
              <w:ind w:firstLine="31680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 w:hint="eastAsia"/>
                <w:sz w:val="24"/>
              </w:rPr>
              <w:t>本说明书的内容如有不明或有误的记载</w:t>
            </w:r>
            <w:r>
              <w:rPr>
                <w:rFonts w:ascii="微软雅黑" w:hAnsi="微软雅黑" w:hint="eastAsia"/>
                <w:sz w:val="24"/>
              </w:rPr>
              <w:t>，</w:t>
            </w:r>
            <w:r>
              <w:rPr>
                <w:rFonts w:ascii="微软雅黑" w:hAnsi="微软雅黑" w:eastAsia="微软雅黑" w:hint="eastAsia"/>
                <w:sz w:val="24"/>
              </w:rPr>
              <w:t>请使用者与本公司联系。</w:t>
            </w:r>
            <w:r>
              <w:rPr>
                <w:rFonts w:ascii="微软雅黑" w:hAnsi="微软雅黑" w:eastAsia="微软雅黑"/>
                <w:sz w:val="24"/>
              </w:rPr>
            </w:r>
          </w:p>
          <w:p>
            <w:pPr>
              <w:ind w:firstLine="31680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 w:hint="eastAsia"/>
                <w:sz w:val="24"/>
              </w:rPr>
              <w:t>本说明书解释权归深圳市克鲁斯机器人科技有限公司所有。</w:t>
            </w:r>
            <w:r>
              <w:rPr>
                <w:rFonts w:ascii="微软雅黑" w:hAnsi="微软雅黑" w:eastAsia="微软雅黑"/>
                <w:sz w:val="24"/>
              </w:rPr>
            </w:r>
          </w:p>
        </w:tc>
      </w:tr>
    </w:tbl>
    <w:p>
      <w:pPr>
        <w:rPr>
          <w:rFonts w:ascii="微软雅黑" w:hAnsi="微软雅黑" w:eastAsia="微软雅黑"/>
          <w:szCs w:val="28"/>
        </w:rPr>
      </w:pPr>
      <w:r>
        <w:rPr>
          <w:rFonts w:ascii="微软雅黑" w:hAnsi="微软雅黑" w:eastAsia="微软雅黑"/>
          <w:szCs w:val="28"/>
        </w:rPr>
      </w:r>
    </w:p>
    <w:p>
      <w:pPr>
        <w:numPr>
          <w:ilvl w:val="0"/>
          <w:numId w:val="10"/>
        </w:numPr>
        <w:ind w:left="420" w:hanging="420"/>
        <w:outlineLvl w:val="0"/>
        <w:rPr>
          <w:rFonts w:ascii="微软雅黑" w:hAnsi="微软雅黑" w:eastAsia="微软雅黑"/>
          <w:b/>
          <w:sz w:val="24"/>
        </w:rPr>
      </w:pPr>
      <w:r/>
      <w:bookmarkStart w:id="3" w:name="_Toc519006224"/>
      <w:bookmarkEnd w:id="3"/>
      <w:r/>
      <w:bookmarkStart w:id="4" w:name="_Toc30201"/>
      <w:bookmarkEnd w:id="4"/>
      <w:r/>
      <w:r>
        <w:rPr>
          <w:rFonts w:ascii="微软雅黑" w:hAnsi="微软雅黑" w:eastAsia="微软雅黑" w:hint="eastAsia"/>
          <w:b/>
          <w:sz w:val="24"/>
        </w:rPr>
        <w:t>产品说明</w:t>
      </w:r>
      <w:r>
        <w:rPr>
          <w:rFonts w:ascii="微软雅黑" w:hAnsi="微软雅黑" w:eastAsia="微软雅黑"/>
          <w:b/>
          <w:sz w:val="24"/>
        </w:rPr>
      </w:r>
    </w:p>
    <w:p>
      <w:pPr>
        <w:ind w:left="567" w:firstLine="31680"/>
        <w:spacing w:line="5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本产品为双工位机械手自动上料、退</w:t>
      </w:r>
      <w:r>
        <w:rPr>
          <w:rFonts w:ascii="微软雅黑" w:hAnsi="微软雅黑" w:eastAsia="微软雅黑"/>
        </w:rPr>
        <w:t>Pin</w:t>
      </w:r>
      <w:r>
        <w:rPr>
          <w:rFonts w:ascii="微软雅黑" w:hAnsi="微软雅黑" w:eastAsia="微软雅黑" w:hint="eastAsia"/>
        </w:rPr>
        <w:t>、激光切割、分板、垫板自动分拣的自动化设备，本设备是一台集伺服定位、智能控制、视觉分拣系统为一体的现代工业自动化设备，配有一台高清视觉相机和自主开发的视觉分拣软件，能够准确的分拣垫板，还拥有一台中控电脑和</w:t>
      </w:r>
      <w:r>
        <w:rPr>
          <w:rFonts w:ascii="微软雅黑" w:hAnsi="微软雅黑" w:eastAsia="微软雅黑"/>
        </w:rPr>
        <w:t>PLC</w:t>
      </w:r>
      <w:r>
        <w:rPr>
          <w:rFonts w:ascii="微软雅黑" w:hAnsi="微软雅黑" w:eastAsia="微软雅黑" w:hint="eastAsia"/>
        </w:rPr>
        <w:t>控制系统，中控电脑可以提供丰富的数据接口，方便客户对设备的自动化管理系统和自动化生产管理软件接入，非常适合现代的工业</w:t>
      </w:r>
      <w:r>
        <w:rPr>
          <w:rFonts w:ascii="微软雅黑" w:hAnsi="微软雅黑" w:eastAsia="微软雅黑"/>
        </w:rPr>
        <w:t>4.0</w:t>
      </w:r>
      <w:r>
        <w:rPr>
          <w:rFonts w:ascii="微软雅黑" w:hAnsi="微软雅黑" w:eastAsia="微软雅黑" w:hint="eastAsia"/>
        </w:rPr>
        <w:t>大数据时代的数据服务，改设备还支持手机、平板等</w:t>
      </w:r>
      <w:r>
        <w:rPr>
          <w:rFonts w:ascii="微软雅黑" w:hAnsi="微软雅黑" w:eastAsia="微软雅黑"/>
        </w:rPr>
        <w:t>Android</w:t>
      </w:r>
      <w:r>
        <w:rPr>
          <w:rFonts w:ascii="微软雅黑" w:hAnsi="微软雅黑" w:eastAsia="微软雅黑" w:hint="eastAsia"/>
        </w:rPr>
        <w:t>系统</w:t>
      </w:r>
      <w:r>
        <w:rPr>
          <w:rFonts w:ascii="微软雅黑" w:hAnsi="微软雅黑" w:eastAsia="微软雅黑"/>
        </w:rPr>
        <w:t>CMT APP</w:t>
      </w:r>
      <w:r>
        <w:rPr>
          <w:rFonts w:ascii="微软雅黑" w:hAnsi="微软雅黑" w:eastAsia="微软雅黑" w:hint="eastAsia"/>
        </w:rPr>
        <w:t>远程监控和操控，非常方便维护人员检查感应器、电磁阀等元件工作状态监控与调试。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10"/>
        </w:numPr>
        <w:ind w:left="420" w:hanging="420"/>
        <w:outlineLvl w:val="0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 w:hint="eastAsia"/>
          <w:b/>
          <w:sz w:val="24"/>
        </w:rPr>
        <w:t>产品优势</w:t>
      </w:r>
      <w:r>
        <w:rPr>
          <w:rFonts w:ascii="微软雅黑" w:hAnsi="微软雅黑" w:eastAsia="微软雅黑"/>
          <w:b/>
          <w:sz w:val="24"/>
        </w:rPr>
      </w:r>
    </w:p>
    <w:p>
      <w:pPr>
        <w:numPr>
          <w:ilvl w:val="0"/>
          <w:numId w:val="9"/>
        </w:numPr>
        <w:ind w:left="794" w:hanging="22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导入自动退</w:t>
      </w:r>
      <w:r>
        <w:rPr>
          <w:rFonts w:ascii="微软雅黑" w:hAnsi="微软雅黑" w:eastAsia="微软雅黑"/>
        </w:rPr>
        <w:t>Pin</w:t>
      </w:r>
      <w:r>
        <w:rPr>
          <w:rFonts w:ascii="微软雅黑" w:hAnsi="微软雅黑" w:eastAsia="微软雅黑" w:hint="eastAsia"/>
        </w:rPr>
        <w:t>机，进一步提高自动化水平、产品质量、行业竞争力，营造出一种现代化生产工厂的气息，给人耳目一新的感觉。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9"/>
        </w:numPr>
        <w:ind w:left="794" w:hanging="22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本设备自动双工位上料，自动循环上料，减轻工人的劳动强度，减少员工流失率，提高工作效率，最大化降低人力、物力成本，提升企业生产效益。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9"/>
        </w:numPr>
        <w:ind w:left="794" w:hanging="22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网络通讯接口丰富，可以无缝对接客户生产管理系统，真正做到智能无人车间。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9"/>
        </w:numPr>
        <w:ind w:left="794" w:hanging="22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设备所有传送皮带均采用伺服轴控制，方便、快速、定位精度高等优点。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9"/>
        </w:numPr>
        <w:ind w:left="794" w:hanging="22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设备设计兼容</w:t>
      </w:r>
      <w:r>
        <w:rPr>
          <w:rFonts w:ascii="微软雅黑" w:hAnsi="微软雅黑" w:eastAsia="微软雅黑"/>
        </w:rPr>
        <w:t>450mm*450mm-730mm*730mm</w:t>
      </w:r>
      <w:r>
        <w:rPr>
          <w:rFonts w:ascii="微软雅黑" w:hAnsi="微软雅黑" w:eastAsia="微软雅黑" w:hint="eastAsia"/>
        </w:rPr>
        <w:t>，兼容性广。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9"/>
        </w:numPr>
        <w:ind w:left="794" w:hanging="22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割胶采用非接触式激光割胶，切割精度高、速度快，使用寿命长等优点。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9"/>
        </w:numPr>
        <w:ind w:left="794" w:hanging="22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垫板分拣采用主流</w:t>
      </w:r>
      <w:r>
        <w:rPr>
          <w:rFonts w:ascii="微软雅黑" w:hAnsi="微软雅黑" w:eastAsia="微软雅黑"/>
        </w:rPr>
        <w:t>CCD</w:t>
      </w:r>
      <w:r>
        <w:rPr>
          <w:rFonts w:ascii="微软雅黑" w:hAnsi="微软雅黑" w:eastAsia="微软雅黑" w:hint="eastAsia"/>
        </w:rPr>
        <w:t>视觉分析和自动分拣系统，能有效分拣可二次利用和不可二次利用垫板，减少人工成本。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9"/>
        </w:numPr>
        <w:ind w:left="794" w:hanging="22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 w:hint="eastAsia"/>
        </w:rPr>
        <w:t>分板机械手采用自动宽度调节系统，该机构能根据来料参数自动调整吸盘宽度，能够实时根据系统自动调整，真正做到换型不停机。分板机构还分上下两层，底层负责分拣铝片和垫板，上层负责分拣基板，上下同时工作，互不干扰，大大提高产能。</w:t>
      </w:r>
      <w:r>
        <w:rPr>
          <w:rFonts w:ascii="微软雅黑" w:hAnsi="微软雅黑" w:eastAsia="微软雅黑"/>
        </w:rPr>
      </w:r>
    </w:p>
    <w:p>
      <w:pPr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ind w:left="31680" w:firstLine="31680"/>
        <w:spacing w:line="400" w:lineRule="exact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ind w:firstLine="31680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ind w:left="56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ind w:left="567"/>
        <w:spacing w:line="4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  <w:r>
        <w:br w:type="page"/>
      </w:r>
    </w:p>
    <w:p>
      <w:pPr>
        <w:numPr>
          <w:ilvl w:val="0"/>
          <w:numId w:val="6"/>
        </w:numPr>
        <w:ind w:left="420" w:hanging="420"/>
        <w:outlineLvl w:val="0"/>
        <w:rPr>
          <w:rFonts w:ascii="微软雅黑" w:hAnsi="微软雅黑" w:eastAsia="微软雅黑"/>
          <w:b/>
          <w:szCs w:val="28"/>
        </w:rPr>
      </w:pPr>
      <w:r>
        <w:rPr>
          <w:rFonts w:ascii="微软雅黑" w:hAnsi="微软雅黑" w:eastAsia="微软雅黑"/>
          <w:b/>
          <w:szCs w:val="28"/>
        </w:rPr>
        <w:t xml:space="preserve"> </w:t>
      </w:r>
      <w:r/>
      <w:bookmarkStart w:id="5" w:name="_Toc519006228"/>
      <w:bookmarkEnd w:id="5"/>
      <w:r/>
      <w:bookmarkStart w:id="6" w:name="_Toc5587"/>
      <w:bookmarkEnd w:id="6"/>
      <w:r/>
      <w:r>
        <w:rPr>
          <w:rFonts w:ascii="微软雅黑" w:hAnsi="微软雅黑" w:eastAsia="微软雅黑" w:hint="eastAsia"/>
          <w:b/>
          <w:sz w:val="24"/>
        </w:rPr>
        <w:t>设备</w:t>
      </w:r>
      <w:r>
        <w:rPr>
          <w:rFonts w:ascii="微软雅黑" w:hAnsi="微软雅黑" w:eastAsia="微软雅黑" w:hint="eastAsia"/>
          <w:b/>
          <w:sz w:val="24"/>
        </w:rPr>
        <w:t>参数</w:t>
      </w:r>
      <w:r>
        <w:rPr>
          <w:rFonts w:ascii="微软雅黑" w:hAnsi="微软雅黑" w:eastAsia="微软雅黑"/>
          <w:b/>
          <w:szCs w:val="28"/>
        </w:rPr>
      </w:r>
    </w:p>
    <w:p>
      <w:pPr>
        <w:numPr>
          <w:ilvl w:val="0"/>
          <w:numId w:val="12"/>
        </w:numPr>
        <w:ind w:left="425" w:hanging="425"/>
        <w:outlineLvl w:val="1"/>
        <w:rPr>
          <w:rFonts w:ascii="微软雅黑" w:hAnsi="微软雅黑" w:eastAsia="微软雅黑"/>
          <w:b/>
          <w:vanish w:val="1"/>
        </w:rPr>
      </w:pPr>
      <w:r/>
      <w:bookmarkStart w:id="7" w:name="_Toc519002779"/>
      <w:bookmarkEnd w:id="7"/>
      <w:r/>
      <w:bookmarkStart w:id="8" w:name="_Toc519006229"/>
      <w:bookmarkEnd w:id="8"/>
      <w:r/>
      <w:bookmarkStart w:id="9" w:name="_Toc13667"/>
      <w:bookmarkEnd w:id="9"/>
      <w:r/>
      <w:r>
        <w:rPr>
          <w:rFonts w:ascii="微软雅黑" w:hAnsi="微软雅黑" w:eastAsia="微软雅黑"/>
          <w:b/>
          <w:vanish w:val="1"/>
        </w:rPr>
      </w:r>
    </w:p>
    <w:p>
      <w:pPr>
        <w:numPr>
          <w:ilvl w:val="0"/>
          <w:numId w:val="12"/>
        </w:numPr>
        <w:ind w:left="425" w:hanging="425"/>
        <w:outlineLvl w:val="1"/>
        <w:rPr>
          <w:rFonts w:ascii="微软雅黑" w:hAnsi="微软雅黑" w:eastAsia="微软雅黑"/>
          <w:b/>
          <w:vanish w:val="1"/>
        </w:rPr>
      </w:pPr>
      <w:r/>
      <w:bookmarkStart w:id="10" w:name="_Toc519002780"/>
      <w:bookmarkEnd w:id="10"/>
      <w:r/>
      <w:bookmarkStart w:id="11" w:name="_Toc519006230"/>
      <w:bookmarkEnd w:id="11"/>
      <w:r/>
      <w:bookmarkStart w:id="12" w:name="_Toc32621"/>
      <w:bookmarkEnd w:id="12"/>
      <w:r/>
      <w:r>
        <w:rPr>
          <w:rFonts w:ascii="微软雅黑" w:hAnsi="微软雅黑" w:eastAsia="微软雅黑"/>
          <w:b/>
          <w:vanish w:val="1"/>
        </w:rPr>
      </w:r>
    </w:p>
    <w:p>
      <w:pPr>
        <w:numPr>
          <w:ilvl w:val="0"/>
          <w:numId w:val="3"/>
        </w:numPr>
        <w:ind w:left="420" w:hanging="420"/>
        <w:outlineLvl w:val="1"/>
        <w:rPr>
          <w:b/>
        </w:rPr>
      </w:pPr>
      <w:r/>
      <w:bookmarkStart w:id="13" w:name="_Toc519006231"/>
      <w:bookmarkEnd w:id="13"/>
      <w:r/>
      <w:bookmarkStart w:id="14" w:name="_Toc31952"/>
      <w:bookmarkEnd w:id="14"/>
      <w:r/>
      <w:r>
        <w:rPr>
          <w:rFonts w:ascii="微软雅黑" w:hAnsi="微软雅黑" w:eastAsia="微软雅黑" w:hint="eastAsia"/>
          <w:b/>
        </w:rPr>
        <w:t>设备</w:t>
      </w:r>
      <w:r>
        <w:rPr>
          <w:rFonts w:ascii="微软雅黑" w:hAnsi="微软雅黑" w:eastAsia="微软雅黑" w:hint="eastAsia"/>
          <w:b/>
        </w:rPr>
        <w:t>基本</w:t>
      </w:r>
      <w:r>
        <w:rPr>
          <w:rFonts w:ascii="微软雅黑" w:hAnsi="微软雅黑" w:eastAsia="微软雅黑" w:hint="eastAsia"/>
          <w:b/>
        </w:rPr>
        <w:t>参数</w:t>
      </w:r>
      <w:r>
        <w:rPr>
          <w:b/>
        </w:rPr>
      </w:r>
    </w:p>
    <w:tbl>
      <w:tblPr>
        <w:jc w:val="left"/>
        <w:tblInd w:w="-108" w:type="dxa"/>
        <w:tblW w:w="9945" w:type="dxa"/>
      </w:tblPr>
      <w:tblGrid>
        <w:gridCol w:w="686"/>
        <w:gridCol w:w="3145"/>
        <w:gridCol w:w="2823"/>
        <w:gridCol w:w="3291"/>
      </w:tblGrid>
      <w:tr>
        <w:trPr>
          <w:trHeight w:val="619" w:hRule="atLeast"/>
        </w:trPr>
        <w:tc>
          <w:tcPr>
            <w:tcW w:w="99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黑体" w:hAnsi="黑体" w:eastAsia="黑体" w:cs="黑体" w:hint="eastAsia"/>
                <w:sz w:val="30"/>
                <w:szCs w:val="30"/>
              </w:rPr>
              <w:t>设备基本参数</w:t>
            </w:r>
            <w:r/>
          </w:p>
        </w:tc>
      </w:tr>
      <w:tr>
        <w:trPr>
          <w:trHeight w:val="164" w:hRule="atLeast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序号</w:t>
            </w:r>
          </w:p>
        </w:tc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项目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规格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备注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设备长度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/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8000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340" w:hRule="atLeast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设备宽度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/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1800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设备高度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/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2000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出板工作面高度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/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1000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rPr>
                <w:rFonts w:ascii="宋体" w:hAnsi="宋体" w:cs="宋体" w:hint="eastAsia"/>
                <w:szCs w:val="21"/>
              </w:rPr>
              <w:t>±</w:t>
            </w:r>
            <w:r>
              <w:rPr>
                <w:rFonts w:ascii="宋体" w:hAnsi="宋体" w:cs="宋体"/>
                <w:szCs w:val="21"/>
              </w:rPr>
              <w:t>50mm</w:t>
            </w:r>
            <w:r>
              <w:rPr>
                <w:rFonts w:ascii="宋体" w:hAnsi="宋体" w:cs="宋体" w:hint="eastAsia"/>
                <w:szCs w:val="21"/>
              </w:rPr>
              <w:t>可调</w:t>
            </w: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设备底部净高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/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150 mm</w:t>
            </w:r>
            <w:r/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6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最小加工尺寸（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 w:val="22"/>
                <w:szCs w:val="22"/>
              </w:rPr>
              <w:t>450*450</w:t>
            </w: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7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最大加工尺寸（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 w:val="22"/>
                <w:szCs w:val="22"/>
              </w:rPr>
              <w:t>730*730</w:t>
            </w: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8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生产速度（pnl/min）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≥5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1片一叠</w:t>
            </w:r>
            <w:r>
              <w:rPr>
                <w:rFonts w:ascii="宋体" w:hAnsi="宋体"/>
              </w:rPr>
              <w:t>/</w:t>
            </w:r>
            <w:r>
              <w:t>5叠，2片一叠</w:t>
            </w:r>
            <w:r>
              <w:rPr>
                <w:rFonts w:ascii="宋体" w:hAnsi="宋体"/>
              </w:rPr>
              <w:t>/</w:t>
            </w:r>
            <w:r>
              <w:t>4叠以上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9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最薄板厚（mm）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10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最厚板厚（mm）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11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最多叠板数（pnl/叠）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bCs/>
                <w:szCs w:val="21"/>
              </w:rPr>
            </w:pPr>
            <w:r>
              <w:rPr>
                <w:bCs/>
                <w:szCs w:val="21"/>
              </w:rPr>
              <w:t>不限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288" w:hRule="atLeast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12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生产板重（kg/叠）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≤10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90" w:hRule="atLeast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13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投板</w:t>
            </w:r>
            <w:r>
              <w:rPr>
                <w:bCs/>
                <w:szCs w:val="21"/>
              </w:rPr>
              <w:t>托盘架工作最低高度（</w:t>
            </w:r>
            <w:r>
              <w:rPr>
                <w:bCs/>
                <w:szCs w:val="21"/>
              </w:rPr>
              <w:t>mm</w:t>
            </w:r>
            <w:r>
              <w:rPr>
                <w:bCs/>
                <w:szCs w:val="21"/>
              </w:rPr>
              <w:t>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bCs/>
                <w:szCs w:val="21"/>
              </w:rPr>
            </w:pPr>
            <w:r>
              <w:rPr>
                <w:bCs/>
                <w:szCs w:val="21"/>
              </w:rPr>
              <w:t>400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高度可调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14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适用托盘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/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800*800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15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投料最高高度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/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1400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16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叠板容许高度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  <w:r/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400-1300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17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托盘支架内净宽度（mm）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700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18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托盘支架最大承重（Kg）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250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19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投料口宽度（mm）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940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20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投放板机工位</w:t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双工位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21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设备重量Kg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/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22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设备外观颜色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波纹灰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接受定制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23</w:t>
            </w:r>
          </w:p>
        </w:tc>
        <w:tc>
          <w:tcPr>
            <w:tcW w:w="31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rPr>
                <w:rFonts w:ascii="宋体" w:hAnsi="宋体" w:hint="eastAsia"/>
                <w:szCs w:val="21"/>
              </w:rPr>
              <w:t>操作面要求</w:t>
            </w:r>
            <w:r/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面对操作侧右进左出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接受定制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24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  <w:t>设备抽风要求</w:t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150mm</w:t>
            </w:r>
            <w:r>
              <w:rPr>
                <w:rFonts w:ascii="宋体" w:hAnsi="宋体" w:hint="eastAsia"/>
                <w:szCs w:val="21"/>
              </w:rPr>
              <w:t>抽风口</w:t>
            </w: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25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收板载具</w:t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t>/</w:t>
            </w: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633" w:hRule="atLeast"/>
        </w:trPr>
        <w:tc>
          <w:tcPr>
            <w:tcW w:w="99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rFonts w:ascii="黑体" w:hAnsi="黑体" w:eastAsia="黑体" w:cs="黑体" w:hint="eastAsia"/>
                <w:sz w:val="30"/>
                <w:szCs w:val="30"/>
              </w:rPr>
              <w:t>设备电控参数</w:t>
            </w: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额定功率</w:t>
            </w:r>
            <w:r>
              <w:rPr>
                <w:rFonts w:ascii="宋体" w:hAnsi="宋体"/>
                <w:szCs w:val="21"/>
              </w:rPr>
              <w:t>KW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漏电开关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电压</w:t>
            </w:r>
            <w:r>
              <w:rPr>
                <w:rFonts w:ascii="宋体" w:hAnsi="宋体"/>
                <w:szCs w:val="21"/>
              </w:rPr>
              <w:t>V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AC220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电流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空开要求40A配电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噪音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80</w:t>
            </w:r>
            <w:r>
              <w:rPr>
                <w:rFonts w:ascii="宋体" w:hAnsi="宋体" w:hint="eastAsia"/>
                <w:szCs w:val="21"/>
              </w:rPr>
              <w:t>分贝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rPr>
                <w:rFonts w:ascii="宋体" w:hAnsi="宋体" w:hint="eastAsia"/>
                <w:szCs w:val="21"/>
              </w:rPr>
              <w:t>工作时距噪音源</w:t>
            </w:r>
            <w:r>
              <w:rPr>
                <w:rFonts w:ascii="宋体" w:hAnsi="宋体"/>
                <w:szCs w:val="21"/>
              </w:rPr>
              <w:t>1m</w:t>
            </w:r>
            <w:r>
              <w:rPr>
                <w:rFonts w:ascii="宋体" w:hAnsi="宋体" w:hint="eastAsia"/>
                <w:szCs w:val="21"/>
              </w:rPr>
              <w:t>处</w:t>
            </w: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6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压缩空气压力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6.5-7.5Kg/cm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主气源需标配1寸管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7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压缩空气流量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3000L/Min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主气源需标配1寸管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8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电能表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rPr>
                <w:rFonts w:ascii="宋体" w:hAnsi="宋体"/>
                <w:szCs w:val="21"/>
              </w:rPr>
              <w:t>DDS238-4W</w:t>
            </w:r>
            <w:r/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RS485</w:t>
            </w: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9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人机界面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CMT-SVR</w:t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10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PC</w:t>
            </w:r>
            <w:r>
              <w:rPr>
                <w:rFonts w:ascii="宋体" w:hAnsi="宋体" w:hint="eastAsia"/>
                <w:szCs w:val="21"/>
              </w:rPr>
              <w:t>电脑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嵌入式一体机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Win7</w:t>
            </w:r>
            <w:r>
              <w:rPr>
                <w:rFonts w:ascii="宋体" w:hAnsi="宋体" w:hint="eastAsia"/>
                <w:szCs w:val="21"/>
              </w:rPr>
              <w:t>未授权，版本需购买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11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PLC</w:t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05"/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信捷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12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电控箱内环境温度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℃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根据环境定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13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电控箱进线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下进下出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14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电控箱设计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独立电控箱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15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05"/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16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05"/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17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05"/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18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05"/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19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05"/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20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05"/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99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105"/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hAnsi="黑体" w:eastAsia="黑体" w:cs="黑体" w:hint="eastAsia"/>
                <w:sz w:val="30"/>
                <w:szCs w:val="30"/>
              </w:rPr>
              <w:t>其它参数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环境洁净度要求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PIN孔损坏率（%</w:t>
            </w:r>
            <w:r>
              <w:rPr>
                <w:szCs w:val="21"/>
              </w:rPr>
              <w:t>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来料异常除外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PIN位置最大偏移（mm</w:t>
            </w:r>
            <w:r>
              <w:rPr>
                <w:szCs w:val="21"/>
              </w:rPr>
              <w:t>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±</w:t>
            </w:r>
            <w:r>
              <w:rPr>
                <w:szCs w:val="21"/>
              </w:rPr>
              <w:t>30</w:t>
            </w: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换型时间（min）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＜3min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自动换型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垫板使用次数区分</w:t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视觉自动分拣</w:t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6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割胶带方式</w:t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激光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7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割胶带异常率（%）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来料异常除外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8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掉板异常率（%）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来料异常除外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9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生产板板面残胶率（%）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来料异常除外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10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卡板异常率（%）</w:t>
            </w: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>
              <w:t>来料异常除外</w:t>
            </w:r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11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12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13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14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0" w:hRule="auto"/>
        </w:trPr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15</w:t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tLeast"/>
              <w:jc w:val="left"/>
              <w:widowControl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</w:pPr>
            <w:r/>
          </w:p>
        </w:tc>
      </w:tr>
      <w:tr>
        <w:trPr>
          <w:trHeight w:val="507" w:hRule="atLeast"/>
        </w:trPr>
        <w:tc>
          <w:tcPr>
            <w:tcW w:w="994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/>
                <w:szCs w:val="21"/>
              </w:rPr>
            </w:pPr>
            <w:r>
              <w:rPr>
                <w:rFonts w:ascii="黑体" w:hAnsi="黑体" w:eastAsia="黑体" w:cs="黑体" w:hint="eastAsia"/>
                <w:sz w:val="30"/>
                <w:szCs w:val="30"/>
              </w:rPr>
              <w:t>采集参数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592" w:hRule="atLeast"/>
        </w:trPr>
        <w:tc>
          <w:tcPr>
            <w:tcW w:w="6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参数类型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数据采集参数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控制下发参数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</w:r>
          </w:p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</w:t>
            </w:r>
            <w:r>
              <w:rPr>
                <w:rFonts w:ascii="宋体" w:hAnsi="宋体"/>
                <w:szCs w:val="21"/>
              </w:rPr>
            </w:r>
          </w:p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追</w:t>
            </w:r>
            <w:r>
              <w:rPr>
                <w:rFonts w:ascii="宋体" w:hAnsi="宋体"/>
                <w:szCs w:val="21"/>
              </w:rPr>
            </w:r>
          </w:p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踪</w:t>
            </w:r>
            <w:r>
              <w:rPr>
                <w:rFonts w:ascii="宋体" w:hAnsi="宋体"/>
                <w:szCs w:val="21"/>
              </w:rPr>
            </w:r>
          </w:p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  <w:r>
              <w:rPr>
                <w:rFonts w:ascii="宋体" w:hAnsi="宋体"/>
                <w:szCs w:val="21"/>
              </w:rPr>
            </w:r>
          </w:p>
          <w:p>
            <w:pPr>
              <w:spacing/>
              <w:jc w:val="center"/>
            </w:pPr>
            <w:r>
              <w:rPr>
                <w:rFonts w:ascii="宋体" w:hAnsi="宋体" w:hint="eastAsia"/>
                <w:szCs w:val="21"/>
              </w:rPr>
              <w:t>息</w:t>
            </w:r>
            <w:r/>
          </w:p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工位号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板长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板宽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叠板数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总叠数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总加工数量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用电量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智能化接口（</w:t>
            </w:r>
            <w:r>
              <w:rPr>
                <w:rFonts w:ascii="宋体" w:hAnsi="宋体"/>
                <w:szCs w:val="21"/>
              </w:rPr>
              <w:t>RJ45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282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32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</w:tbl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numPr>
          <w:ilvl w:val="0"/>
          <w:numId w:val="4"/>
        </w:numPr>
        <w:ind w:left="420" w:hanging="420"/>
        <w:outlineLvl w:val="0"/>
        <w:rPr>
          <w:rFonts w:ascii="微软雅黑" w:hAnsi="微软雅黑" w:eastAsia="微软雅黑" w:cs="微软雅黑"/>
          <w:b/>
          <w:sz w:val="24"/>
        </w:rPr>
      </w:pPr>
      <w:r/>
      <w:bookmarkStart w:id="15" w:name="_Toc12558"/>
      <w:bookmarkEnd w:id="15"/>
      <w:r/>
      <w:r>
        <w:rPr>
          <w:rFonts w:ascii="微软雅黑" w:hAnsi="微软雅黑" w:eastAsia="微软雅黑" w:cs="微软雅黑" w:hint="eastAsia"/>
          <w:b/>
          <w:sz w:val="24"/>
        </w:rPr>
        <w:t>设备结构部件及名称</w:t>
      </w:r>
      <w:r>
        <w:rPr>
          <w:rFonts w:ascii="微软雅黑" w:hAnsi="微软雅黑" w:eastAsia="微软雅黑" w:cs="微软雅黑"/>
          <w:b/>
          <w:sz w:val="24"/>
        </w:rPr>
      </w:r>
    </w:p>
    <w:p>
      <w:pPr>
        <w:numPr>
          <w:ilvl w:val="0"/>
          <w:numId w:val="1"/>
        </w:numPr>
        <w:ind w:left="420" w:hanging="420"/>
        <w:outlineLvl w:val="1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 w:hint="eastAsia"/>
          <w:b/>
          <w:szCs w:val="21"/>
        </w:rPr>
        <w:t>设备功能介绍：</w:t>
      </w:r>
      <w:r>
        <w:rPr>
          <w:rFonts w:ascii="微软雅黑" w:hAnsi="微软雅黑" w:eastAsia="微软雅黑"/>
          <w:b/>
          <w:sz w:val="24"/>
        </w:rPr>
      </w:r>
    </w:p>
    <w:p>
      <w:pPr>
        <w:ind w:left="420" w:firstLine="420"/>
        <w:rPr>
          <w:rFonts w:ascii="微软雅黑" w:hAnsi="微软雅黑" w:eastAsia="微软雅黑"/>
        </w:rPr>
      </w:pPr>
      <w:r>
        <w:rPr>
          <w:rFonts w:ascii="微软雅黑" w:hAnsi="微软雅黑" w:eastAsia="微软雅黑" w:cs="宋体" w:hint="eastAsia"/>
        </w:rPr>
        <w:t>该设备主要应用在</w:t>
      </w:r>
      <w:r>
        <w:rPr>
          <w:rFonts w:ascii="微软雅黑" w:hAnsi="微软雅黑" w:eastAsia="微软雅黑" w:cs="宋体"/>
        </w:rPr>
        <w:t>PCB</w:t>
      </w:r>
      <w:r>
        <w:rPr>
          <w:rFonts w:ascii="微软雅黑" w:hAnsi="微软雅黑" w:eastAsia="微软雅黑" w:cs="宋体" w:hint="eastAsia"/>
        </w:rPr>
        <w:t>钻孔后段的割胶退</w:t>
      </w:r>
      <w:r>
        <w:rPr>
          <w:rFonts w:ascii="微软雅黑" w:hAnsi="微软雅黑" w:eastAsia="微软雅黑" w:cs="宋体"/>
        </w:rPr>
        <w:t>Pin</w:t>
      </w:r>
      <w:r>
        <w:rPr>
          <w:rFonts w:ascii="微软雅黑" w:hAnsi="微软雅黑" w:eastAsia="微软雅黑" w:cs="宋体" w:hint="eastAsia"/>
        </w:rPr>
        <w:t>作业，该设备通过一台独立的机械手双工位自动上料，两个工位可以同时上料，循环执行，连接一套割胶退</w:t>
      </w:r>
      <w:r>
        <w:rPr>
          <w:rFonts w:ascii="微软雅黑" w:hAnsi="微软雅黑" w:eastAsia="微软雅黑" w:cs="宋体"/>
        </w:rPr>
        <w:t>Pin</w:t>
      </w:r>
      <w:r>
        <w:rPr>
          <w:rFonts w:ascii="微软雅黑" w:hAnsi="微软雅黑" w:eastAsia="微软雅黑" w:cs="宋体" w:hint="eastAsia"/>
        </w:rPr>
        <w:t>机构，该机构通过导向装置将</w:t>
      </w:r>
      <w:r>
        <w:rPr>
          <w:rFonts w:ascii="微软雅黑" w:hAnsi="微软雅黑" w:eastAsia="微软雅黑" w:cs="宋体"/>
        </w:rPr>
        <w:t>Pin</w:t>
      </w:r>
      <w:r>
        <w:rPr>
          <w:rFonts w:ascii="微软雅黑" w:hAnsi="微软雅黑" w:eastAsia="微软雅黑" w:cs="宋体" w:hint="eastAsia"/>
        </w:rPr>
        <w:t>钉导入退</w:t>
      </w:r>
      <w:r>
        <w:rPr>
          <w:rFonts w:ascii="微软雅黑" w:hAnsi="微软雅黑" w:eastAsia="微软雅黑" w:cs="宋体"/>
        </w:rPr>
        <w:t>Pin</w:t>
      </w:r>
      <w:r>
        <w:rPr>
          <w:rFonts w:ascii="微软雅黑" w:hAnsi="微软雅黑" w:eastAsia="微软雅黑" w:cs="宋体" w:hint="eastAsia"/>
        </w:rPr>
        <w:t>机构下方进行退</w:t>
      </w:r>
      <w:r>
        <w:rPr>
          <w:rFonts w:ascii="微软雅黑" w:hAnsi="微软雅黑" w:eastAsia="微软雅黑" w:cs="宋体"/>
        </w:rPr>
        <w:t>Pin</w:t>
      </w:r>
      <w:r>
        <w:rPr>
          <w:rFonts w:ascii="微软雅黑" w:hAnsi="微软雅黑" w:eastAsia="微软雅黑" w:cs="宋体" w:hint="eastAsia"/>
        </w:rPr>
        <w:t>，退</w:t>
      </w:r>
      <w:r>
        <w:rPr>
          <w:rFonts w:ascii="微软雅黑" w:hAnsi="微软雅黑" w:eastAsia="微软雅黑" w:cs="宋体"/>
        </w:rPr>
        <w:t>Pin</w:t>
      </w:r>
      <w:r>
        <w:rPr>
          <w:rFonts w:ascii="微软雅黑" w:hAnsi="微软雅黑" w:eastAsia="微软雅黑" w:cs="宋体" w:hint="eastAsia"/>
        </w:rPr>
        <w:t>完成后直接送入</w:t>
      </w:r>
      <w:r>
        <w:rPr>
          <w:rFonts w:ascii="微软雅黑" w:hAnsi="微软雅黑" w:eastAsia="微软雅黑" w:cs="宋体"/>
        </w:rPr>
        <w:t>CCD</w:t>
      </w:r>
      <w:r>
        <w:rPr>
          <w:rFonts w:ascii="微软雅黑" w:hAnsi="微软雅黑" w:eastAsia="微软雅黑" w:cs="宋体" w:hint="eastAsia"/>
        </w:rPr>
        <w:t>拍照工位进行视觉分拣，分拣后将物料和分拣结果送入激光割胶工位，激光工位先进行拍板板宽，然后两边同时割胶，完成后经旋转机构旋转</w:t>
      </w:r>
      <w:r>
        <w:rPr>
          <w:rFonts w:ascii="微软雅黑" w:hAnsi="微软雅黑" w:eastAsia="微软雅黑" w:cs="宋体"/>
        </w:rPr>
        <w:t>90</w:t>
      </w:r>
      <w:r>
        <w:rPr>
          <w:rFonts w:ascii="微软雅黑" w:hAnsi="微软雅黑" w:eastAsia="微软雅黑" w:cs="宋体" w:hint="eastAsia"/>
        </w:rPr>
        <w:t>°再割另外两边，割胶完成后送入分板段，分板机器手逐步将铝片、基垫板进行分拣，分拣铝片放入铝片回收框，基板经翻板传送至上层分板板机器手，上层分板板机器手根据参数将基板进行分拣，提供参数可设置为单、双</w:t>
      </w:r>
      <w:r>
        <w:rPr>
          <w:rFonts w:ascii="微软雅黑" w:hAnsi="微软雅黑" w:eastAsia="微软雅黑" w:cs="宋体"/>
        </w:rPr>
        <w:t>L</w:t>
      </w:r>
      <w:r>
        <w:rPr>
          <w:rFonts w:ascii="微软雅黑" w:hAnsi="微软雅黑" w:eastAsia="微软雅黑" w:cs="宋体" w:hint="eastAsia"/>
        </w:rPr>
        <w:t>架收板或部分收板、全部收板以及直接出料等，翻板机构根据</w:t>
      </w:r>
      <w:r>
        <w:rPr>
          <w:rFonts w:ascii="微软雅黑" w:hAnsi="微软雅黑" w:eastAsia="微软雅黑" w:cs="宋体"/>
        </w:rPr>
        <w:t>CCD</w:t>
      </w:r>
      <w:r>
        <w:rPr>
          <w:rFonts w:ascii="微软雅黑" w:hAnsi="微软雅黑" w:eastAsia="微软雅黑" w:cs="宋体" w:hint="eastAsia"/>
        </w:rPr>
        <w:t>视觉检测结果将可二次利用垫板和报废板进行分拣，分拣后放入对应的回收框，</w:t>
      </w:r>
      <w:r>
        <w:rPr>
          <w:rFonts w:ascii="微软雅黑" w:hAnsi="微软雅黑" w:eastAsia="微软雅黑" w:hint="eastAsia"/>
        </w:rPr>
        <w:t>设备功能包括：双工位上料机，割胶退</w:t>
      </w:r>
      <w:r>
        <w:rPr>
          <w:rFonts w:ascii="微软雅黑" w:hAnsi="微软雅黑" w:eastAsia="微软雅黑"/>
        </w:rPr>
        <w:t>Pin</w:t>
      </w:r>
      <w:r>
        <w:rPr>
          <w:rFonts w:ascii="微软雅黑" w:hAnsi="微软雅黑" w:eastAsia="微软雅黑" w:hint="eastAsia"/>
        </w:rPr>
        <w:t>，机械手分板、翻板，铝片、垫板回收，整机采用电脑控制，操作简单，功能齐全，支持人工上料和</w:t>
      </w:r>
      <w:r>
        <w:rPr>
          <w:rFonts w:ascii="微软雅黑" w:hAnsi="微软雅黑" w:eastAsia="微软雅黑"/>
        </w:rPr>
        <w:t>AGV</w:t>
      </w:r>
      <w:r>
        <w:rPr>
          <w:rFonts w:ascii="微软雅黑" w:hAnsi="微软雅黑" w:eastAsia="微软雅黑" w:hint="eastAsia"/>
        </w:rPr>
        <w:t>自动上料。</w:t>
      </w:r>
      <w:r>
        <w:rPr>
          <w:rFonts w:ascii="微软雅黑" w:hAnsi="微软雅黑" w:eastAsia="微软雅黑"/>
        </w:rPr>
      </w:r>
    </w:p>
    <w:p>
      <w:pPr>
        <w:numPr>
          <w:ilvl w:val="0"/>
          <w:numId w:val="7"/>
        </w:numPr>
        <w:ind w:left="420" w:hanging="42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 w:hint="eastAsia"/>
          <w:b/>
          <w:szCs w:val="21"/>
        </w:rPr>
        <w:t>主要组成部分：</w:t>
      </w:r>
      <w:r>
        <w:rPr>
          <w:rFonts w:ascii="微软雅黑" w:hAnsi="微软雅黑" w:eastAsia="微软雅黑"/>
          <w:b/>
          <w:szCs w:val="21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双工位上料机构</w:t>
      </w:r>
      <w:r>
        <w:rPr>
          <w:rFonts w:ascii="微软雅黑" w:hAnsi="微软雅黑" w:eastAsia="微软雅黑"/>
        </w:rPr>
        <w:tab/>
        <w:tab/>
        <w:tab/>
        <w:tab/>
        <w:tab/>
        <w:tab/>
        <w:tab/>
        <w:tab/>
        <w:t>2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方向调整机构</w:t>
      </w: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退</w:t>
      </w:r>
      <w:r>
        <w:rPr>
          <w:rFonts w:ascii="微软雅黑" w:hAnsi="微软雅黑" w:eastAsia="微软雅黑"/>
        </w:rPr>
        <w:t>Pin</w:t>
      </w:r>
      <w:r>
        <w:rPr>
          <w:rFonts w:ascii="微软雅黑" w:hAnsi="微软雅黑" w:eastAsia="微软雅黑" w:hint="eastAsia"/>
        </w:rPr>
        <w:t>机构</w:t>
      </w:r>
      <w:r>
        <w:rPr>
          <w:rFonts w:ascii="微软雅黑" w:hAnsi="微软雅黑" w:eastAsia="微软雅黑"/>
        </w:rPr>
        <w:tab/>
        <w:tab/>
        <w:tab/>
        <w:tab/>
        <w:tab/>
        <w:tab/>
        <w:tab/>
        <w:tab/>
        <w:tab/>
        <w:t>4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CCD</w:t>
      </w:r>
      <w:r>
        <w:rPr>
          <w:rFonts w:ascii="微软雅黑" w:hAnsi="微软雅黑" w:eastAsia="微软雅黑" w:hint="eastAsia"/>
        </w:rPr>
        <w:t>检测机构</w:t>
      </w: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5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割胶机构</w:t>
      </w:r>
      <w:r>
        <w:rPr>
          <w:rFonts w:ascii="微软雅黑" w:hAnsi="微软雅黑" w:eastAsia="微软雅黑"/>
        </w:rPr>
        <w:tab/>
        <w:tab/>
        <w:tab/>
        <w:tab/>
        <w:tab/>
        <w:tab/>
        <w:tab/>
        <w:tab/>
        <w:tab/>
      </w:r>
      <w:r>
        <w:rPr>
          <w:rFonts w:ascii="微软雅黑" w:hAnsi="微软雅黑" w:eastAsia="微软雅黑" w:hint="eastAsia"/>
        </w:rPr>
        <w:t xml:space="preserve">       </w:t>
      </w:r>
      <w:r>
        <w:rPr>
          <w:rFonts w:ascii="微软雅黑" w:hAnsi="微软雅黑" w:eastAsia="微软雅黑"/>
        </w:rPr>
        <w:t>6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分板传送</w:t>
      </w: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7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翻转机构</w:t>
      </w:r>
      <w:r>
        <w:rPr>
          <w:rFonts w:ascii="微软雅黑" w:hAnsi="微软雅黑" w:eastAsia="微软雅黑"/>
        </w:rPr>
        <w:tab/>
        <w:tab/>
        <w:tab/>
        <w:tab/>
        <w:tab/>
        <w:tab/>
        <w:tab/>
        <w:tab/>
        <w:tab/>
      </w:r>
      <w:r>
        <w:rPr>
          <w:rFonts w:ascii="微软雅黑" w:hAnsi="微软雅黑" w:eastAsia="微软雅黑" w:hint="eastAsia"/>
        </w:rPr>
        <w:t xml:space="preserve">       </w:t>
      </w:r>
      <w:r>
        <w:rPr>
          <w:rFonts w:ascii="微软雅黑" w:hAnsi="微软雅黑" w:eastAsia="微软雅黑"/>
        </w:rPr>
        <w:t>8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收板传送</w:t>
      </w: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9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分板机器手</w:t>
      </w:r>
      <w:r>
        <w:rPr>
          <w:rFonts w:ascii="微软雅黑" w:hAnsi="微软雅黑" w:eastAsia="微软雅黑"/>
        </w:rPr>
        <w:tab/>
        <w:tab/>
        <w:tab/>
        <w:tab/>
        <w:tab/>
        <w:tab/>
        <w:tab/>
        <w:tab/>
        <w:tab/>
        <w:t>10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双</w:t>
      </w:r>
      <w:r>
        <w:rPr>
          <w:rFonts w:ascii="微软雅黑" w:hAnsi="微软雅黑" w:eastAsia="微软雅黑"/>
        </w:rPr>
        <w:t>L</w:t>
      </w:r>
      <w:r>
        <w:rPr>
          <w:rFonts w:ascii="微软雅黑" w:hAnsi="微软雅黑" w:eastAsia="微软雅黑" w:hint="eastAsia"/>
        </w:rPr>
        <w:t>架收板机构</w:t>
      </w: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11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工业电脑主机</w:t>
      </w:r>
      <w:r>
        <w:rPr>
          <w:rFonts w:ascii="微软雅黑" w:hAnsi="微软雅黑" w:eastAsia="微软雅黑"/>
        </w:rPr>
        <w:tab/>
        <w:tab/>
        <w:tab/>
        <w:tab/>
        <w:tab/>
        <w:tab/>
        <w:tab/>
        <w:tab/>
        <w:t>12</w:t>
      </w:r>
      <w:r>
        <w:rPr>
          <w:rFonts w:ascii="微软雅黑" w:hAnsi="微软雅黑" w:eastAsia="微软雅黑" w:hint="eastAsia"/>
        </w:rPr>
        <w:t>）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 w:hint="eastAsia"/>
        </w:rPr>
        <w:t>控制系统</w:t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ind w:firstLine="31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p>
      <w:pPr>
        <w:numPr>
          <w:ilvl w:val="0"/>
          <w:numId w:val="8"/>
        </w:numPr>
        <w:ind w:left="420" w:hanging="420"/>
        <w:outlineLvl w:val="0"/>
        <w:rPr>
          <w:rFonts w:ascii="微软雅黑" w:hAnsi="微软雅黑" w:eastAsia="微软雅黑"/>
          <w:b/>
          <w:bCs/>
          <w:sz w:val="24"/>
        </w:rPr>
      </w:pPr>
      <w:r>
        <w:rPr>
          <w:rFonts w:ascii="微软雅黑" w:hAnsi="微软雅黑" w:eastAsia="微软雅黑" w:hint="eastAsia"/>
          <w:b/>
          <w:bCs/>
          <w:sz w:val="24"/>
        </w:rPr>
        <w:t>设备功能区</w:t>
      </w:r>
      <w:r>
        <w:rPr>
          <w:rFonts w:ascii="微软雅黑" w:hAnsi="微软雅黑" w:eastAsia="微软雅黑"/>
          <w:b/>
          <w:bCs/>
          <w:sz w:val="24"/>
        </w:rPr>
      </w:r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投板退</w:t>
      </w:r>
      <w:r>
        <w:rPr>
          <w:b/>
          <w:bCs/>
        </w:rPr>
        <w:t>Pin</w:t>
      </w:r>
      <w:r>
        <w:rPr>
          <w:b/>
          <w:bCs/>
        </w:rPr>
        <w:t>区</w:t>
      </w:r>
      <w:r>
        <w:rPr>
          <w:b/>
          <w:bCs/>
        </w:rPr>
      </w:r>
    </w:p>
    <w:p>
      <w:pPr>
        <w:ind w:firstLine="420"/>
        <w:outlineLvl w:val="2"/>
      </w:pPr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4667250" cy="2675890"/>
            <wp:effectExtent l="0" t="0" r="0" b="0"/>
            <wp:docPr id="2" name="图片模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模式2"/>
                    <pic:cNvPicPr>
                      <a:extLst>
                        <a:ext uri="smNativeData">
                          <sm:smNativeData xmlns:sm="smo" val="SMDATA_12_j1v+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LYcAAB2EAAAthwAAHYQAAAAAAAACQAAAAQAAAAAAAAADAAAABAAAAAAAAAAAAAAAAAAAAAAAAAAHgAAAGgAAAAAAAAAAAAAAAAAAAAAAAAAAAAAABAnAAAQJwAAAAAAAAAAAAAAAAAAAAAAAAAAAAAAAAAAAAAAAAAAAAAUAAAAAAAAAMDA/wAAAAAAZAAAADIAAAAAAAAAZAAAAAAAAAB/f38ACgAAACEAAABAAAAAPAAAAD0AAAAAgAAAAAAAAAAAAAAAAAAAAgAAAACA//8AAAAAAgAAAACA//+2HAAAdhAAAAAAAAAAAAAAAAA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758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/>
    </w:p>
    <w:p>
      <w:pPr>
        <w:ind w:firstLine="420"/>
        <w:outlineLvl w:val="2"/>
      </w:pPr>
      <w:r/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激光割胶区</w:t>
      </w:r>
      <w:r>
        <w:rPr>
          <w:b/>
          <w:bCs/>
        </w:rPr>
      </w:r>
    </w:p>
    <w:p>
      <w:pPr>
        <w:ind w:firstLine="420"/>
        <w:outlineLvl w:val="1"/>
      </w:pPr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1809750" cy="1511935"/>
            <wp:effectExtent l="0" t="0" r="0" b="0"/>
            <wp:docPr id="3" name="图片模式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模式3"/>
                    <pic:cNvPicPr>
                      <a:extLst>
                        <a:ext uri="smNativeData">
                          <sm:smNativeData xmlns:sm="smo" val="SMDATA_12_j1v+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CILAABNCQAAIgsAAE0JAAAAAAAACQAAAAQAAAAAAAAADAAAABAAAAAAAAAAAAAAAAAAAAAAAAAAHgAAAGgAAAAAAAAAAAAAAAAAAAAAAAAAAAAAABAnAAAQJwAAAAAAAAAAAAAAAAAAAAAAAAAAAAAAAAAAAAAAAAAAAAAUAAAAAAAAAMDA/wAAAAAAZAAAADIAAAAAAAAAZAAAAAAAAAB/f38ACgAAACEAAABAAAAAPAAAAEMAAAAAgAAAAAAAAAAAAAAAAAAAAAAAAACA//8AAAAAAAAAAACA//8iCwAATQkAAAAAAAAAAAAAAAA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119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/>
    </w:p>
    <w:p>
      <w:pPr>
        <w:ind w:firstLine="420"/>
        <w:outlineLvl w:val="1"/>
      </w:pPr>
      <w:r/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分板区</w:t>
      </w:r>
      <w:r>
        <w:rPr>
          <w:b/>
          <w:bCs/>
        </w:rPr>
      </w:r>
    </w:p>
    <w:p>
      <w:pPr>
        <w:ind w:firstLine="420"/>
      </w:pPr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2552700" cy="1985645"/>
            <wp:effectExtent l="0" t="0" r="0" b="0"/>
            <wp:docPr id="4" name="图片模式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模式4"/>
                    <pic:cNvPicPr>
                      <a:extLst>
                        <a:ext uri="smNativeData">
                          <sm:smNativeData xmlns:sm="smo" val="SMDATA_12_j1v+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LQPAAA3DAAAtA8AADcMAAAAAAAACQAAAAQAAAAAAAAADAAAABAAAAAAAAAAAAAAAAAAAAAAAAAAHgAAAGgAAAAAAAAAAAAAAAAAAAAAAAAAAAAAABAnAAAQJwAAAAAAAAAAAAAAAAAAAAAAAAAAAAAAAAAAAAAAAAAAAAAUAAAAAAAAAMDA/wAAAAAAZAAAADIAAAAAAAAAZAAAAAAAAAB/f38ACgAAACEAAABAAAAAPAAAAE4AAAAAgAAAAAAAAAAAAAAAAAAAAAAAAACA//8AAAAAAAAAAACA//+0DwAANwwAAAAAAAAAAAAAAAA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856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2557145" cy="1916430"/>
            <wp:effectExtent l="0" t="0" r="0" b="0"/>
            <wp:docPr id="5" name="图片模式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模式5"/>
                    <pic:cNvPicPr>
                      <a:extLst>
                        <a:ext uri="smNativeData">
                          <sm:smNativeData xmlns:sm="smo" val="SMDATA_12_j1v+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LsPAADKCwAAuw8AAMoLAAAAAAAACQAAAAQAAAAAAAAADAAAABAAAAAAAAAAAAAAAAAAAAAAAAAAHgAAAGgAAAAAAAAAAAAAAAAAAAAAAAAAAAAAABAnAAAQJwAAAAAAAAAAAAAAAAAAAAAAAAAAAAAAAAAAAAAAAAAAAAAUAAAAAAAAAMDA/wAAAAAAZAAAADIAAAAAAAAAZAAAAAAAAAB/f38ACgAAACEAAABAAAAAPAAAAE4AAAAAgAAAAAAAAAAAAAAAAAAAAAAAAACA//8AAAAAAAAAAACA//+7DwAAygsAAAAAAAAAAAAAAAAA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164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/>
    </w:p>
    <w:p>
      <w:pPr>
        <w:ind w:firstLine="420"/>
      </w:pPr>
      <w:r/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6" behindDoc="0" locked="0" layoutInCell="0" hidden="0" allowOverlap="1">
            <wp:simplePos x="0" y="0"/>
            <wp:positionH relativeFrom="column">
              <wp:posOffset>492760</wp:posOffset>
            </wp:positionH>
            <wp:positionV relativeFrom="paragraph">
              <wp:posOffset>127635</wp:posOffset>
            </wp:positionV>
            <wp:extent cx="4781550" cy="3502660"/>
            <wp:effectExtent l="0" t="0" r="0" b="0"/>
            <wp:wrapNone/>
            <wp:docPr id="6" name="图片模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模式6"/>
                    <pic:cNvPicPr>
                      <a:extLst>
                        <a:ext uri="smNativeData">
                          <sm:smNativeData xmlns:sm="smo" val="SMDATA_12_j1v+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EUAAAAAgAAAAAAAAAAAAAAAAAAAAgAAAAgDAAABAAAAAgAAAMkAAABqHQAAjBUAAAUAAAA9BwAAKRYA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026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195580</wp:posOffset>
                </wp:positionV>
                <wp:extent cx="1190625" cy="280035"/>
                <wp:effectExtent l="9525" t="9525" r="966470" b="1295400"/>
                <wp:wrapNone/>
                <wp:docPr id="8" name="图例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j1v+XxMAAAAlAAAA9AEAAA0AAAAAkAAAAEgAAACQAAAASAAAAAAAAAAAAAAAAAAAAAEAAABQAAAAXI/C9SjcBEB7H29pDl4kQA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QAAAACAAAAAAAAAAAAAAAAAAAACAAAAZf3//wAAAAACAAAANAEAAFMHAAC5AQAABQAAAJoBAACUFgAA"/>
                          </a:ext>
                        </a:extLst>
                      </wps:cNvSpPr>
                      <wps:spPr>
                        <a:xfrm>
                          <a:off x="0" y="0"/>
                          <a:ext cx="1190625" cy="280035"/>
                        </a:xfrm>
                        <a:prstGeom prst="wedgeRectCallout">
                          <a:avLst>
                            <a:gd name="adj1" fmla="val 130375"/>
                            <a:gd name="adj2" fmla="val 509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双L架收板机构</w:t>
                            </w:r>
                          </w:p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图例1" o:spid="_x0000_s1026" type="#_x0000_t61" style="position:absolute;margin-left:-33.35pt;margin-top:15.40pt;width:93.75pt;height:22.05pt;mso-wrap-distance-left:9.00pt;mso-wrap-distance-top:0.00pt;mso-wrap-distance-right:9.00pt;mso-wrap-distance-bottom:0.00pt;mso-wrap-style:square" adj="38961,120784" strokeweight="0.75pt" fillcolor="#ffffff" v:ext="SMDATA_11_j1v+XxMAAAAlAAAA9AEAAA0AAAAAkAAAAEgAAACQAAAASAAAAAAAAAAAAAAAAAAAAAEAAABQAAAAXI/C9SjcBEB7H29pDl4kQA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QAAAACAAAAAAAAAAAAAAAAAAAACAAAAZf3//wAAAAACAAAANAEAAFMHAAC5AQAABQAAAJoBAACUFg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>
                        <w:t>双L架收板机构</w:t>
                      </w:r>
                    </w:p>
                    <w:p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firstLine="4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45720</wp:posOffset>
                </wp:positionV>
                <wp:extent cx="714375" cy="210820"/>
                <wp:effectExtent l="9525" t="9525" r="3518535" b="1783080"/>
                <wp:wrapNone/>
                <wp:docPr id="7" name="图例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j1v+XxMAAAAlAAAA9AEAAA0AAAAAkAAAAEgAAACQAAAASAAAAAAAAAAAAAAAAAAAAAEAAABQAAAA+PGW5uClJUBdbn+QodIxQA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gAAAACAAAAAAAAAAAAAAAAAAAACAAAAw/7//wAAAAACAAAASAAAAGUEAABMAQAABQAAAPgCAACpFgAA"/>
                          </a:ext>
                        </a:extLst>
                      </wps:cNvSpPr>
                      <wps:spPr>
                        <a:xfrm>
                          <a:off x="0" y="0"/>
                          <a:ext cx="714375" cy="210820"/>
                        </a:xfrm>
                        <a:prstGeom prst="wedgeRectCallout">
                          <a:avLst>
                            <a:gd name="adj1" fmla="val 541199"/>
                            <a:gd name="adj2" fmla="val 891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例2" o:spid="_x0000_s1027" type="#_x0000_t61" style="position:absolute;margin-left:-15.85pt;margin-top:3.60pt;width:56.25pt;height:16.60pt;mso-wrap-distance-left:9.00pt;mso-wrap-distance-top:0.00pt;mso-wrap-distance-right:9.00pt;mso-wrap-distance-bottom:0.00pt;mso-wrap-style:square" adj="127699,203286" strokeweight="0.75pt" fillcolor="#ffffff" v:ext="SMDATA_11_j1v+XxMAAAAlAAAA9AEAAA0AAAAAkAAAAEgAAACQAAAASAAAAAAAAAAAAAAAAAAAAAEAAABQAAAA+PGW5uClJUBdbn+QodIxQA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RgAAAACAAAAAAAAAAAAAAAAAAAACAAAAw/7//wAAAAACAAAASAAAAGUEAABMAQAABQAAAPgCAACpFg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72390</wp:posOffset>
                </wp:positionV>
                <wp:extent cx="1190625" cy="280035"/>
                <wp:effectExtent l="9525" t="858520" r="1953260" b="9525"/>
                <wp:wrapNone/>
                <wp:docPr id="9" name="图例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j1v+XxMAAAAlAAAA9AEAAA0AAAAAkAAAAEgAAACQAAAASAAAAAAAAAAAAAAAAAAAAAEAAABQAAAAXmO+bnQPEUAPSNa58kAcwA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AAAAACAAAAAAAAAAAAAAAAAAAACAAAAWP3//wAAAAACAAAAcgAAAFMHAAC5AQAABQAAAI0BAADhJAAA"/>
                          </a:ext>
                        </a:extLst>
                      </wps:cNvSpPr>
                      <wps:spPr>
                        <a:xfrm>
                          <a:off x="0" y="0"/>
                          <a:ext cx="1190625" cy="280035"/>
                        </a:xfrm>
                        <a:prstGeom prst="wedgeRectCallout">
                          <a:avLst>
                            <a:gd name="adj1" fmla="val 213255"/>
                            <a:gd name="adj2" fmla="val -35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直接出板口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例3" o:spid="_x0000_s1028" type="#_x0000_t61" style="position:absolute;margin-left:-34.00pt;margin-top:5.70pt;width:93.75pt;height:22.05pt;mso-wrap-distance-left:9.00pt;mso-wrap-distance-top:0.00pt;mso-wrap-distance-right:9.00pt;mso-wrap-distance-bottom:0.00pt;mso-wrap-style:square" adj="56863,-65485" strokeweight="0.75pt" fillcolor="#ffffff" v:ext="SMDATA_11_j1v+XxMAAAAlAAAA9AEAAA0AAAAAkAAAAEgAAACQAAAASAAAAAAAAAAAAAAAAAAAAAEAAABQAAAAXmO+bnQPEUAPSNa58kAcwA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VAAAAACAAAAAAAAAAAAAAAAAAAACAAAAWP3//wAAAAACAAAAcgAAAFMHAAC5AQAABQAAAI0BAADhJ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>
                        <w:t>直接出板口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ind w:firstLine="420"/>
        <w:rPr>
          <w:b/>
          <w:bCs/>
        </w:rPr>
      </w:pPr>
      <w:r>
        <w:rPr>
          <w:b/>
          <w:bCs/>
        </w:rPr>
      </w:r>
    </w:p>
    <w:p>
      <w:pPr>
        <w:numPr>
          <w:ilvl w:val="0"/>
          <w:numId w:val="8"/>
        </w:numPr>
        <w:ind w:left="420" w:hanging="420"/>
        <w:outlineLvl w:val="0"/>
        <w:rPr>
          <w:rFonts w:ascii="微软雅黑" w:hAnsi="微软雅黑" w:eastAsia="微软雅黑"/>
          <w:b/>
          <w:bCs/>
          <w:sz w:val="24"/>
        </w:rPr>
      </w:pPr>
      <w:r>
        <w:rPr>
          <w:rFonts w:ascii="微软雅黑" w:hAnsi="微软雅黑" w:eastAsia="微软雅黑" w:hint="eastAsia"/>
          <w:b/>
          <w:bCs/>
          <w:sz w:val="24"/>
        </w:rPr>
        <w:t>功能介绍</w:t>
      </w:r>
      <w:r>
        <w:rPr>
          <w:rFonts w:ascii="微软雅黑" w:hAnsi="微软雅黑" w:eastAsia="微软雅黑"/>
          <w:b/>
          <w:bCs/>
          <w:sz w:val="24"/>
        </w:rPr>
      </w:r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双工位投板</w:t>
      </w:r>
      <w:r>
        <w:rPr>
          <w:b/>
          <w:bCs/>
        </w:rPr>
      </w:r>
    </w:p>
    <w:p>
      <w:pPr>
        <w:ind w:firstLine="420"/>
        <w:outlineLvl w:val="2"/>
        <w:rPr>
          <w:b/>
          <w:bCs/>
        </w:rPr>
      </w:pPr>
      <w:r>
        <w:rPr>
          <w:szCs w:val="21"/>
        </w:rPr>
        <w:t>双工位投板机采用自动升降平台自动升降，托盘架投板高度可根据参数设置，投料设备投料后升降平台自动提升至取板位置，取板位置设置激光传感器检测，当提升高度提升至激光传感器感应高度后自动停止，然后发出准备完成信号，等待取板后自动根据激光传感器信号自动判断提升，双工位独立运行，互不干扰，等待叠板数完全取完后自动切换另一工位继续作业。</w:t>
      </w:r>
      <w:r>
        <w:rPr>
          <w:b/>
          <w:bCs/>
        </w:rPr>
      </w:r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翻转退Pin</w:t>
      </w:r>
      <w:r>
        <w:rPr>
          <w:b/>
          <w:bCs/>
        </w:rPr>
      </w:r>
    </w:p>
    <w:p>
      <w:pPr>
        <w:ind w:firstLine="420"/>
        <w:outlineLvl w:val="2"/>
      </w:pPr>
      <w:r>
        <w:t>翻板工位主要将投板机物料根据参数进行翻转，将铝片方向调整一致向上，翻转完成后由退Pin升降机构送人下层退Pin工位进行退Pin。</w:t>
      </w:r>
    </w:p>
    <w:p>
      <w:pPr>
        <w:ind w:firstLine="420"/>
        <w:outlineLvl w:val="2"/>
      </w:pPr>
      <w:r>
        <w:t>退Pin机构传送使用伺服传送，双向传送至退Pin机构下方，传送皮带伺服控制，速度控制方便可调，物料在传送过程中，在近Pin感应时提起减速至退Pin感应，有效防止速度过快导致Pin钉撞变形。</w:t>
      </w:r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激光割胶</w:t>
      </w:r>
      <w:r>
        <w:rPr>
          <w:b/>
          <w:bCs/>
        </w:rPr>
      </w:r>
    </w:p>
    <w:p>
      <w:pPr>
        <w:ind w:firstLine="420"/>
        <w:outlineLvl w:val="2"/>
      </w:pPr>
      <w:r>
        <w:t>激光割胶采用保护性激光割胶方式，有效防止激光触及基板，激光割胶传送采用伺服皮带定位机构，快速稳定、定位精度高等优点，改机构配备拍板功能，来料自动根据参数进行拍板对中，拍板对中完成后进行激光割胶，割胶完成后传送至下一工序。</w:t>
      </w:r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分板</w:t>
      </w:r>
      <w:r>
        <w:rPr>
          <w:b/>
          <w:bCs/>
        </w:rPr>
      </w:r>
    </w:p>
    <w:p>
      <w:pPr>
        <w:ind w:firstLine="420"/>
        <w:outlineLvl w:val="2"/>
      </w:pPr>
      <w:r>
        <w:t>分板机构分成两部分，底层分板由一台自动调整宽度机械手和拍板对中机构组成，当物料传送至指定位置后，拍板机构进行拍板，拍板完成后由分板机械手根据参数自动调节吸盘位置，分板机械手首先将表面铝片吸入翻转机构，然后基板与垫板由翻板机构翻转至上层分板传送，然后上层分板机械手逐层分拣，同时翻板机构将底层纸板翻会底层分板传送工位，再由底层分板机械手吸入翻转机构。</w:t>
      </w:r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双L</w:t>
      </w:r>
      <w:r>
        <w:rPr>
          <w:b/>
          <w:bCs/>
        </w:rPr>
        <w:t>架收板</w:t>
      </w:r>
      <w:r>
        <w:rPr>
          <w:b/>
          <w:bCs/>
        </w:rPr>
      </w:r>
    </w:p>
    <w:p>
      <w:pPr>
        <w:ind w:firstLine="420"/>
        <w:outlineLvl w:val="1"/>
      </w:pPr>
      <w:r>
        <w:t>改收板机构采用双L翻板机构进行收板，当前叠板是否收板可自动根据当前叠板参数设置来完成，可设置为A、B工位L架收某一层或几层、全部不收或者全部收等配合。</w:t>
      </w:r>
    </w:p>
    <w:p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垫板分拣</w:t>
      </w:r>
      <w:r>
        <w:rPr>
          <w:b/>
          <w:bCs/>
        </w:rPr>
      </w:r>
    </w:p>
    <w:p>
      <w:pPr>
        <w:ind w:firstLine="420"/>
        <w:outlineLvl w:val="2"/>
        <w:rPr>
          <w:rFonts w:ascii="微软雅黑" w:hAnsi="微软雅黑" w:eastAsia="微软雅黑"/>
          <w:b/>
          <w:bCs/>
          <w:sz w:val="24"/>
        </w:rPr>
      </w:pPr>
      <w:r>
        <w:t>垫板分拣机构将垫板进行翻板，翻转机构根据CCD拍照结果进行自动分拣，分拣可二次利用和不可二次利用垫板。</w:t>
      </w:r>
      <w:r>
        <w:rPr>
          <w:rFonts w:ascii="微软雅黑" w:hAnsi="微软雅黑" w:eastAsia="微软雅黑"/>
          <w:b/>
          <w:bCs/>
          <w:sz w:val="24"/>
        </w:rPr>
      </w:r>
    </w:p>
    <w:p>
      <w:pPr>
        <w:outlineLvl w:val="0"/>
        <w:rPr>
          <w:rFonts w:ascii="微软雅黑" w:hAnsi="微软雅黑" w:eastAsia="微软雅黑"/>
          <w:b/>
          <w:bCs/>
          <w:sz w:val="24"/>
        </w:rPr>
      </w:pPr>
      <w:r>
        <w:rPr>
          <w:rFonts w:ascii="微软雅黑" w:hAnsi="微软雅黑" w:eastAsia="微软雅黑"/>
          <w:b/>
          <w:bCs/>
          <w:sz w:val="24"/>
        </w:rPr>
      </w:r>
    </w:p>
    <w:p>
      <w:pPr>
        <w:numPr>
          <w:ilvl w:val="0"/>
          <w:numId w:val="5"/>
        </w:numPr>
        <w:ind w:left="0" w:firstLine="420"/>
        <w:outlineLvl w:val="0"/>
        <w:rPr>
          <w:rFonts w:ascii="微软雅黑" w:hAnsi="微软雅黑" w:eastAsia="微软雅黑"/>
          <w:b/>
          <w:bCs/>
          <w:sz w:val="24"/>
        </w:rPr>
      </w:pPr>
      <w:r>
        <w:rPr>
          <w:rFonts w:ascii="微软雅黑" w:hAnsi="微软雅黑" w:eastAsia="微软雅黑" w:hint="eastAsia"/>
          <w:b/>
          <w:bCs/>
          <w:sz w:val="24"/>
        </w:rPr>
        <w:t>耗材清单</w:t>
      </w:r>
      <w:r>
        <w:rPr>
          <w:rFonts w:ascii="微软雅黑" w:hAnsi="微软雅黑" w:eastAsia="微软雅黑"/>
          <w:b/>
          <w:bCs/>
          <w:sz w:val="24"/>
        </w:rPr>
      </w:r>
    </w:p>
    <w:tbl>
      <w:tblPr>
        <w:jc w:val="left"/>
        <w:tblInd w:w="14" w:type="dxa"/>
        <w:tblW w:w="9968" w:type="dxa"/>
      </w:tblPr>
      <w:tblGrid>
        <w:gridCol w:w="833"/>
        <w:gridCol w:w="2381"/>
        <w:gridCol w:w="1544"/>
        <w:gridCol w:w="1542"/>
        <w:gridCol w:w="941"/>
        <w:gridCol w:w="1418"/>
        <w:gridCol w:w="1309"/>
      </w:tblGrid>
      <w:tr>
        <w:trPr>
          <w:trHeight w:val="136" w:hRule="atLeast"/>
        </w:trPr>
        <w:tc>
          <w:tcPr>
            <w:tcW w:w="99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 w:hint="eastAsia"/>
                <w:sz w:val="36"/>
              </w:rPr>
              <w:t>易损件清单</w:t>
            </w:r>
            <w:r>
              <w:rPr>
                <w:rFonts w:ascii="微软雅黑" w:hAnsi="微软雅黑" w:eastAsia="微软雅黑"/>
                <w:bCs/>
                <w:sz w:val="24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 w:hint="eastAsia"/>
                <w:bCs/>
                <w:sz w:val="24"/>
              </w:rPr>
              <w:t>序号</w:t>
            </w:r>
            <w:r>
              <w:rPr>
                <w:rFonts w:ascii="微软雅黑" w:hAnsi="微软雅黑" w:eastAsia="微软雅黑"/>
                <w:bCs/>
                <w:sz w:val="24"/>
              </w:rPr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 w:hint="eastAsia"/>
                <w:bCs/>
                <w:sz w:val="24"/>
              </w:rPr>
              <w:t>名称</w:t>
            </w:r>
            <w:r>
              <w:rPr>
                <w:rFonts w:ascii="微软雅黑" w:hAnsi="微软雅黑" w:eastAsia="微软雅黑"/>
                <w:bCs/>
                <w:sz w:val="24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 w:hint="eastAsia"/>
                <w:bCs/>
                <w:sz w:val="24"/>
              </w:rPr>
              <w:t>品牌</w:t>
            </w:r>
            <w:r>
              <w:rPr>
                <w:rFonts w:ascii="微软雅黑" w:hAnsi="微软雅黑" w:eastAsia="微软雅黑"/>
                <w:bCs/>
                <w:sz w:val="24"/>
              </w:rPr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 w:hint="eastAsia"/>
                <w:bCs/>
                <w:sz w:val="24"/>
              </w:rPr>
              <w:t>规格</w:t>
            </w:r>
            <w:r>
              <w:rPr>
                <w:rFonts w:ascii="微软雅黑" w:hAnsi="微软雅黑" w:eastAsia="微软雅黑"/>
                <w:bCs/>
                <w:sz w:val="24"/>
              </w:rPr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 w:hint="eastAsia"/>
                <w:bCs/>
                <w:sz w:val="24"/>
              </w:rPr>
              <w:t>数量</w:t>
            </w:r>
            <w:r>
              <w:rPr>
                <w:rFonts w:ascii="微软雅黑" w:hAnsi="微软雅黑" w:eastAsia="微软雅黑"/>
                <w:bCs/>
                <w:sz w:val="24"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20"/>
                <w:szCs w:val="20"/>
              </w:rPr>
            </w:pPr>
            <w:r>
              <w:rPr>
                <w:rFonts w:ascii="微软雅黑" w:hAnsi="微软雅黑" w:eastAsia="微软雅黑" w:hint="eastAsia"/>
                <w:bCs/>
                <w:sz w:val="20"/>
                <w:szCs w:val="20"/>
              </w:rPr>
              <w:t>质保（月）</w:t>
            </w:r>
            <w:r>
              <w:rPr>
                <w:rFonts w:ascii="微软雅黑" w:hAnsi="微软雅黑" w:eastAsia="微软雅黑"/>
                <w:bCs/>
                <w:sz w:val="20"/>
                <w:szCs w:val="20"/>
              </w:rPr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ascii="微软雅黑" w:hAnsi="微软雅黑" w:eastAsia="微软雅黑" w:hint="eastAsia"/>
                <w:bCs/>
                <w:sz w:val="24"/>
              </w:rPr>
              <w:t>备注</w:t>
            </w:r>
            <w:r>
              <w:rPr>
                <w:rFonts w:ascii="微软雅黑" w:hAnsi="微软雅黑" w:eastAsia="微软雅黑"/>
                <w:bCs/>
                <w:sz w:val="24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激光管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L7055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定制件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2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反射镜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D2503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定制件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聚焦镜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D2003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定制件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4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激光电源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WP40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5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水泵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P150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定制件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6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退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Pin</w:t>
            </w: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冲针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L30-D2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6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定制件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7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真空发生器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AU1090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NA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定制件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8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吸盘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UPD03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定制件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9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Pin</w:t>
            </w: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钉感应器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MotionCT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M04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hint="eastAsia"/>
                <w:bCs/>
                <w:sz w:val="18"/>
                <w:szCs w:val="18"/>
              </w:rPr>
              <w:t>定制件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8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10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Cs/>
                <w:sz w:val="18"/>
                <w:szCs w:val="18"/>
              </w:rPr>
            </w:r>
          </w:p>
        </w:tc>
      </w:tr>
    </w:tbl>
    <w:p>
      <w:pPr>
        <w:ind w:left="420" w:firstLine="420"/>
        <w:outlineLvl w:val="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</w:r>
    </w:p>
    <w:p>
      <w:pPr>
        <w:rPr>
          <w:b/>
          <w:bCs/>
        </w:rPr>
      </w:pPr>
      <w:r>
        <w:rPr>
          <w:b/>
          <w:bCs/>
        </w:rPr>
      </w:r>
    </w:p>
    <w:tbl>
      <w:tblPr>
        <w:jc w:val="left"/>
        <w:tblInd w:w="-108" w:type="dxa"/>
        <w:tblW w:w="10104" w:type="dxa"/>
      </w:tblPr>
      <w:tblGrid>
        <w:gridCol w:w="968"/>
        <w:gridCol w:w="2386"/>
        <w:gridCol w:w="2626"/>
        <w:gridCol w:w="1994"/>
        <w:gridCol w:w="2130"/>
      </w:tblGrid>
      <w:tr>
        <w:trPr>
          <w:trHeight w:val="0" w:hRule="auto"/>
        </w:trPr>
        <w:tc>
          <w:tcPr>
            <w:tcW w:w="10104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1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hint="eastAsia"/>
                <w:sz w:val="36"/>
              </w:rPr>
              <w:t>随机配送清单</w:t>
            </w:r>
            <w:r>
              <w:rPr>
                <w:rFonts w:ascii="微软雅黑" w:hAnsi="微软雅黑" w:eastAsia="微软雅黑"/>
              </w:rPr>
            </w:r>
          </w:p>
        </w:tc>
      </w:tr>
      <w:tr>
        <w:trPr>
          <w:trHeight w:val="90" w:hRule="atLeast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No.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 w:hint="eastAsia"/>
                <w:sz w:val="24"/>
              </w:rPr>
              <w:t>名称</w:t>
            </w:r>
            <w:r>
              <w:rPr>
                <w:rFonts w:ascii="微软雅黑" w:hAnsi="微软雅黑" w:eastAsia="微软雅黑" w:cs="微软雅黑"/>
                <w:sz w:val="24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 w:hint="eastAsia"/>
                <w:sz w:val="24"/>
              </w:rPr>
              <w:t>图号</w:t>
            </w:r>
            <w:r>
              <w:rPr>
                <w:rFonts w:ascii="微软雅黑" w:hAnsi="微软雅黑" w:eastAsia="微软雅黑" w:cs="微软雅黑"/>
                <w:sz w:val="24"/>
              </w:rPr>
              <w:t>/</w:t>
            </w:r>
            <w:r>
              <w:rPr>
                <w:rFonts w:ascii="微软雅黑" w:hAnsi="微软雅黑" w:eastAsia="微软雅黑" w:cs="微软雅黑" w:hint="eastAsia"/>
                <w:sz w:val="24"/>
              </w:rPr>
              <w:t>料号</w:t>
            </w:r>
            <w:r>
              <w:rPr>
                <w:rFonts w:ascii="微软雅黑" w:hAnsi="微软雅黑" w:eastAsia="微软雅黑" w:cs="微软雅黑"/>
                <w:sz w:val="24"/>
              </w:rPr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 w:hint="eastAsia"/>
                <w:sz w:val="24"/>
              </w:rPr>
              <w:t>赠送数量</w:t>
            </w:r>
            <w:r>
              <w:rPr>
                <w:rFonts w:ascii="微软雅黑" w:hAnsi="微软雅黑" w:eastAsia="微软雅黑" w:cs="微软雅黑"/>
                <w:sz w:val="24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 w:hint="eastAsia"/>
                <w:sz w:val="24"/>
              </w:rPr>
              <w:t>配送量</w:t>
            </w:r>
            <w:r>
              <w:rPr>
                <w:rFonts w:ascii="微软雅黑" w:hAnsi="微软雅黑" w:eastAsia="微软雅黑" w:cs="微软雅黑"/>
                <w:sz w:val="24"/>
              </w:rPr>
            </w:r>
          </w:p>
        </w:tc>
      </w:tr>
      <w:tr>
        <w:trPr>
          <w:trHeight w:val="301" w:hRule="atLeast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说明书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电子档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151" w:hRule="atLeast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真空发送器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AU1090</w:t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吸盘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outlineLvl w:val="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UPD03</w:t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金具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L70</w:t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滚轮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40x16</w:t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皮带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20-2000</w:t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六角扳手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公制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套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套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96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23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6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19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21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</w:tr>
    </w:tbl>
    <w:p>
      <w:pPr>
        <w:outlineLvl w:val="1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4"/>
      <w:footerReference w:type="default" r:id="rId15"/>
      <w:type w:val="nextPage"/>
      <w:pgSz w:h="16838" w:w="11906"/>
      <w:pgMar w:left="1077" w:top="1077" w:right="1077" w:bottom="1077" w:header="340" w:footer="28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微软雅黑">
    <w:panose1 w:val="020B0503020204020204"/>
    <w:charset w:val="86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黑体">
    <w:panose1 w:val="0201060906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b/>
        <w:bCs/>
        <w:color w:val="7f7f7f"/>
      </w:rPr>
    </w:r>
    <w:r>
      <w:rPr>
        <w:b/>
        <w:bCs/>
        <w:color w:val="7f7f7f"/>
      </w:rPr>
      <w:fldChar w:fldCharType="begin"/>
      <w:instrText xml:space="preserve"> PAGE \* Arabic </w:instrText>
      <w:fldChar w:fldCharType="separate"/>
      <w:t>7</w:t>
      <w:fldChar w:fldCharType="end"/>
    </w:r>
    <w:r>
      <w:rPr>
        <w:b/>
        <w:color w:val="7f7f7f"/>
      </w:rPr>
      <w:t xml:space="preserve"> / </w:t>
    </w:r>
    <w:r>
      <w:rPr>
        <w:b/>
        <w:bCs/>
        <w:color w:val="7f7f7f"/>
      </w:rPr>
    </w:r>
    <w:r>
      <w:rPr>
        <w:b/>
        <w:bCs/>
        <w:color w:val="7f7f7f"/>
      </w:rPr>
      <w:fldChar w:fldCharType="begin"/>
      <w:instrText xml:space="preserve"> NUMPAGES \* Arabic </w:instrText>
      <w:fldChar w:fldCharType="separate"/>
      <w:t>7</w:t>
      <w:fldChar w:fldCharType="end"/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right="200"/>
      <w:spacing/>
      <w:jc w:val="center"/>
      <w:tabs>
        <w:tab w:val="center" w:pos="5133" w:leader="none"/>
      </w:tabs>
      <w:rPr>
        <w:rFonts w:ascii="微软雅黑" w:hAnsi="微软雅黑" w:eastAsia="微软雅黑"/>
        <w:b/>
        <w:i/>
        <w:iCs/>
        <w:color w:val="8db3e2"/>
        <w:sz w:val="20"/>
        <w:szCs w:val="36"/>
        <w:u w:color="auto"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path="t"/>
          <v:handles>
            <v:h position="#0,bottomRight" xrange="6629,14971"/>
          </v:handles>
          <o:lock v:ext="edit" text="t" shapetype="t"/>
        </v:shapetype>
        <v:shape id="TextArt 对象1" o:spid="_x0000_s2049" type="#_x0000_t136" style="position:absolute;mso-position-horizontal:center;mso-position-vertical:center;mso-position-horizontal-relative:margin;mso-position-vertical-relative:margin;width:644.40pt;height:42.95pt;rotation:315.0;mso-wrap-distance-left:9.00pt;mso-wrap-distance-top:0.00pt;mso-wrap-distance-right:9.00pt;mso-wrap-distance-bottom:0.00pt;mso-wrap-style:square" adj="10800" stroked="f" fillcolor="#c0c0c0" v:ext="SMDATA_12_j1v+XxMAAAAlAAAAEAAAAA0AAAAAkAAAAEgAAACQAAAASAAAAAAAAAAAAAAAAAAAAAEAAABQAAAAAAAAAAAAAAAzMzMzMzPTPwAAAAAAAOA/AAAAAAAA4D8AAAAAAADgPwAAAAAAAOA/AAAAAAAA4D8AAAAAAADgPwAAAAAAAOA/AAAAAAAA4D8CAAAAjAAAAAEAAAAAAAAAwMDAAAAAAAAy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UwBpAG0AcwB1AG4AAABlAHcAIABSAG8AbQBhAG4AAAAAAAAAAAAAAAAAAAAAAAAAAAAAAAAAAAAAAAAAAAAAAGQAAAABAAAAAGQAAABkAAAAFwAAABQAAAAAAAAAAAAAAP9/AAD/fwAAAAAAAAkAAAAEAAAAAAAAAAwAAAAQAAAAAAAAAAAAAAAAAAAAAAAAAB4AAABoAAAAAAAAAAAAAAAAAAAAAAAAAAAAAAAQJwAAECcAAAAAAAAAAAAAAAAAAAAAAAAAAAAAAAAAAAAAAAAAAAAAFAAAAAAAAADAwP8AAAAAAGQAAAAyAAAAAAAAAGQAAAAAAAAAf39/AAoAAAAhAAAAQAAAADwAAAAAAAAAEAAAACAAAAAAAAAAAgAAAAEAAAAAAAAAAgAAAAEAAAAAAAAAWDIAAFsDAAAAAAAAFf7//1UfAAA=">
          <v:fill color2="#000000" type="solid" opacity="32768f" angle="180"/>
          <v:textpath style="font-family:&quot;Simsun&quot;;font-size:1.000000pt;v-text-align:center" trim="t" fitshape="t" string="深圳市克鲁斯机器人科技有限公司"/>
          <w10:wrap type="none" anchorx="margin" anchory="margin"/>
        </v:shape>
      </w:pict>
    </w:r>
    <w:r>
      <w:rPr>
        <w:rFonts w:ascii="微软雅黑" w:hAnsi="微软雅黑" w:eastAsia="微软雅黑"/>
        <w:b/>
        <w:color w:val="8db3e2"/>
        <w:sz w:val="20"/>
        <w:szCs w:val="36"/>
      </w:rPr>
      <w:tab/>
      <w:tab/>
      <w:tab/>
      <w:tab/>
    </w:r>
    <w:r>
      <w:rPr>
        <w:rFonts w:ascii="微软雅黑" w:hAnsi="微软雅黑" w:eastAsia="微软雅黑"/>
        <w:b/>
        <w:i/>
        <w:iCs/>
        <w:color w:val="8db3e2"/>
        <w:sz w:val="20"/>
        <w:szCs w:val="36"/>
        <w:u w:color="auto" w:val="singl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编号列表 1"/>
    <w:lvl w:ilvl="0">
      <w:numFmt w:val="bullet"/>
      <w:suff w:val="tab"/>
      <w:lvlText w:val="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2">
    <w:multiLevelType w:val="multilevel"/>
    <w:name w:val="编号列表 2"/>
    <w:lvl w:ilvl="0">
      <w:start w:val="1"/>
      <w:numFmt w:val="chineseCounting"/>
      <w:suff w:val="nothing"/>
      <w:lvlText w:val="第%1章 "/>
      <w:lvlJc w:val="left"/>
      <w:pPr>
        <w:ind w:left="0" w:hanging="0"/>
      </w:pPr>
      <w:rPr>
        <w:rPr>
          <w:rFonts w:cs="Times New Roman" w:hint="eastAsia"/>
        </w:rPr>
      </w:rPr>
    </w:lvl>
    <w:lvl w:ilvl="1">
      <w:start w:val="1"/>
      <w:numFmt w:val="decimal"/>
      <w:pStyle w:val="2"/>
      <w:suff w:val="tab"/>
      <w:lvlText w:val="%1.%2."/>
      <w:lvlJc w:val="left"/>
      <w:pPr>
        <w:ind w:left="0" w:hanging="0"/>
      </w:pPr>
      <w:rPr>
        <w:rPr>
          <w:rFonts w:cs="Times New Roman" w:hint="eastAsia"/>
        </w:rPr>
      </w:rPr>
    </w:lvl>
    <w:lvl w:ilvl="2">
      <w:start w:val="1"/>
      <w:numFmt w:val="decimal"/>
      <w:pStyle w:val="3"/>
      <w:suff w:val="tab"/>
      <w:lvlText w:val="%1.%2.%3."/>
      <w:lvlJc w:val="left"/>
      <w:pPr>
        <w:ind w:left="0" w:hanging="0"/>
      </w:pPr>
      <w:rPr>
        <w:rPr>
          <w:rFonts w:cs="Times New Roman" w:hint="eastAsia"/>
        </w:rPr>
      </w:rPr>
    </w:lvl>
    <w:lvl w:ilvl="3">
      <w:start w:val="1"/>
      <w:numFmt w:val="decimal"/>
      <w:pStyle w:val="4"/>
      <w:suff w:val="tab"/>
      <w:lvlText w:val="%1.%2.%3.%4."/>
      <w:lvlJc w:val="left"/>
      <w:pPr>
        <w:ind w:left="0" w:hanging="0"/>
      </w:pPr>
      <w:rPr>
        <w:rPr>
          <w:rFonts w:cs="Times New Roman" w:hint="eastAsia"/>
        </w:rPr>
      </w:rPr>
    </w:lvl>
    <w:lvl w:ilvl="4">
      <w:start w:val="1"/>
      <w:numFmt w:val="decimal"/>
      <w:pStyle w:val="5"/>
      <w:suff w:val="tab"/>
      <w:lvlText w:val="%1.%2.%3.%4.%5."/>
      <w:lvlJc w:val="left"/>
      <w:pPr>
        <w:ind w:left="0" w:hanging="0"/>
      </w:pPr>
      <w:rPr>
        <w:rPr>
          <w:rFonts w:cs="Times New Roman" w:hint="eastAsia"/>
        </w:rPr>
      </w:rPr>
    </w:lvl>
    <w:lvl w:ilvl="5">
      <w:start w:val="1"/>
      <w:numFmt w:val="decimal"/>
      <w:pStyle w:val="6"/>
      <w:suff w:val="tab"/>
      <w:lvlText w:val="%1.%2.%3.%4.%5.%6."/>
      <w:lvlJc w:val="left"/>
      <w:pPr>
        <w:ind w:left="0" w:hanging="0"/>
      </w:pPr>
      <w:rPr>
        <w:rPr>
          <w:rFonts w:cs="Times New Roman" w:hint="eastAsia"/>
        </w:rPr>
      </w:rPr>
    </w:lvl>
    <w:lvl w:ilvl="6">
      <w:start w:val="1"/>
      <w:numFmt w:val="decimal"/>
      <w:pStyle w:val="7"/>
      <w:suff w:val="tab"/>
      <w:lvlText w:val="%1.%2.%3.%4.%5.%6.%7."/>
      <w:lvlJc w:val="left"/>
      <w:pPr>
        <w:ind w:left="0" w:hanging="0"/>
      </w:pPr>
      <w:rPr>
        <w:rPr>
          <w:rFonts w:cs="Times New Roman" w:hint="eastAsia"/>
        </w:rPr>
      </w:rPr>
    </w:lvl>
    <w:lvl w:ilvl="7">
      <w:start w:val="1"/>
      <w:numFmt w:val="decimal"/>
      <w:pStyle w:val="8"/>
      <w:suff w:val="tab"/>
      <w:lvlText w:val="%1.%2.%3.%4.%5.%6.%7.%8."/>
      <w:lvlJc w:val="left"/>
      <w:pPr>
        <w:ind w:left="0" w:hanging="0"/>
      </w:pPr>
      <w:rPr>
        <w:rPr>
          <w:rFonts w:cs="Times New Roman" w:hint="eastAsia"/>
        </w:rPr>
      </w:rPr>
    </w:lvl>
    <w:lvl w:ilvl="8">
      <w:start w:val="1"/>
      <w:numFmt w:val="decimal"/>
      <w:pStyle w:val="9"/>
      <w:suff w:val="tab"/>
      <w:lvlText w:val="%1.%2.%3.%4.%5.%6.%7.%8.%9."/>
      <w:lvlJc w:val="left"/>
      <w:pPr>
        <w:ind w:left="0" w:hanging="0"/>
      </w:pPr>
      <w:rPr>
        <w:rPr>
          <w:rFonts w:cs="Times New Roman" w:hint="eastAsia"/>
        </w:rPr>
      </w:rPr>
    </w:lvl>
  </w:abstractNum>
  <w:abstractNum w:abstractNumId="3">
    <w:multiLevelType w:val="singleLevel"/>
    <w:name w:val="编号列表 3"/>
    <w:lvl w:ilvl="0">
      <w:numFmt w:val="bullet"/>
      <w:suff w:val="tab"/>
      <w:lvlText w:val="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4">
    <w:multiLevelType w:val="singleLevel"/>
    <w:name w:val="编号列表 4"/>
    <w:lvl w:ilvl="0">
      <w:numFmt w:val="bullet"/>
      <w:suff w:val="tab"/>
      <w:lvlText w:val="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5">
    <w:multiLevelType w:val="singleLevel"/>
    <w:name w:val="编号列表 5"/>
    <w:lvl w:ilvl="0">
      <w:numFmt w:val="bullet"/>
      <w:suff w:val="tab"/>
      <w:lvlText w:val="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6">
    <w:multiLevelType w:val="singleLevel"/>
    <w:name w:val="编号列表 6"/>
    <w:lvl w:ilvl="0">
      <w:numFmt w:val="bullet"/>
      <w:suff w:val="tab"/>
      <w:lvlText w:val="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7">
    <w:multiLevelType w:val="singleLevel"/>
    <w:name w:val="编号列表 7"/>
    <w:lvl w:ilvl="0">
      <w:numFmt w:val="bullet"/>
      <w:suff w:val="tab"/>
      <w:lvlText w:val="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8">
    <w:multiLevelType w:val="singleLevel"/>
    <w:name w:val="编号列表 8"/>
    <w:lvl w:ilvl="0">
      <w:numFmt w:val="bullet"/>
      <w:suff w:val="tab"/>
      <w:lvlText w:val="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9">
    <w:multiLevelType w:val="multilevel"/>
    <w:name w:val="编号列表 9"/>
    <w:lvl w:ilvl="0">
      <w:start w:val="1"/>
      <w:numFmt w:val="decimal"/>
      <w:suff w:val="tab"/>
      <w:lvlText w:val="%1."/>
      <w:lvlJc w:val="left"/>
      <w:pPr>
        <w:ind w:left="567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)"/>
      <w:lvlJc w:val="left"/>
      <w:pPr>
        <w:ind w:left="98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40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182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)"/>
      <w:lvlJc w:val="left"/>
      <w:pPr>
        <w:ind w:left="224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266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308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)"/>
      <w:lvlJc w:val="left"/>
      <w:pPr>
        <w:ind w:left="350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3927" w:hanging="0"/>
      </w:pPr>
      <w:rPr>
        <w:rPr>
          <w:rFonts w:cs="Times New Roman"/>
        </w:rPr>
      </w:rPr>
    </w:lvl>
  </w:abstractNum>
  <w:abstractNum w:abstractNumId="10">
    <w:multiLevelType w:val="singleLevel"/>
    <w:name w:val="编号列表 10"/>
    <w:lvl w:ilvl="0">
      <w:numFmt w:val="bullet"/>
      <w:suff w:val="tab"/>
      <w:lvlText w:val="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11">
    <w:multiLevelType w:val="singleLevel"/>
    <w:name w:val="编号列表 11"/>
    <w:lvl w:ilvl="0">
      <w:numFmt w:val="bullet"/>
      <w:suff w:val="tab"/>
      <w:lvlText w:val=""/>
      <w:lvlJc w:val="left"/>
      <w:pPr>
        <w:ind w:left="0" w:hanging="0"/>
      </w:pPr>
      <w:rPr>
        <w:rPr>
          <w:rFonts w:ascii="Wingdings" w:hAnsi="Wingdings"/>
        </w:rPr>
      </w:rPr>
    </w:lvl>
  </w:abstractNum>
  <w:abstractNum w:abstractNumId="12">
    <w:multiLevelType w:val="multilevel"/>
    <w:name w:val="编号列表 12"/>
    <w:lvl w:ilvl="0">
      <w:start w:val="1"/>
      <w:numFmt w:val="chineseCounting"/>
      <w:suff w:val="nothing"/>
      <w:lvlText w:val="第%1章 "/>
      <w:lvlJc w:val="left"/>
      <w:pPr>
        <w:ind w:left="0" w:hanging="0"/>
      </w:pPr>
      <w:rPr>
        <w:rPr>
          <w:rFonts w:eastAsia="微软雅黑" w:cs="Times New Roman" w:hint="eastAsia"/>
          <w:b/>
          <w:sz w:val="28"/>
        </w:rPr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  <w:rPr>
        <w:rPr>
          <w:rFonts w:cs="Times New Roman" w:hint="eastAsia"/>
        </w:rPr>
      </w:rPr>
    </w:lvl>
    <w:lvl w:ilvl="2">
      <w:start w:val="1"/>
      <w:numFmt w:val="decimal"/>
      <w:suff w:val="tab"/>
      <w:lvlText w:val="%1.%2.%3."/>
      <w:lvlJc w:val="left"/>
      <w:pPr>
        <w:ind w:left="0" w:hanging="0"/>
      </w:pPr>
      <w:rPr>
        <w:rPr>
          <w:rFonts w:cs="Times New Roman" w:hint="eastAsia"/>
        </w:rPr>
      </w:rPr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>
        <w:rPr>
          <w:rFonts w:cs="Times New Roman" w:hint="eastAsia"/>
        </w:rPr>
      </w:rPr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>
        <w:rPr>
          <w:rFonts w:cs="Times New Roman" w:hint="eastAsia"/>
        </w:rPr>
      </w:r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>
        <w:rPr>
          <w:rFonts w:cs="Times New Roman" w:hint="eastAsia"/>
        </w:rPr>
      </w:r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>
        <w:rPr>
          <w:rFonts w:cs="Times New Roman" w:hint="eastAsia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>
        <w:rPr>
          <w:rFonts w:cs="Times New Roman" w:hint="eastAsia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>
        <w:rPr>
          <w:rFonts w:cs="Times New Roman" w:hint="eastAsia"/>
        </w:rPr>
      </w:rPr>
    </w:lvl>
  </w:abstractNum>
  <w:abstractNum w:abstractNumId="13">
    <w:multiLevelType w:val="singleLevel"/>
    <w:name w:val="Bullet 13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4">
    <w:multiLevelType w:val="singleLevel"/>
    <w:name w:val="Bullet 14"/>
    <w:lvl w:ilvl="0">
      <w:numFmt w:val="bullet"/>
      <w:lvlText w:val="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15">
    <w:multiLevelType w:val="singleLevel"/>
    <w:name w:val="Bullet 15"/>
    <w:lvl w:ilvl="0">
      <w:start w:val="1"/>
      <w:numFmt w:val="chineseCounting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 w:hint="eastAsia"/>
        </w:rPr>
      </w:rPr>
    </w:lvl>
  </w:abstractNum>
  <w:abstractNum w:abstractNumId="16">
    <w:multiLevelType w:val="singleLevel"/>
    <w:name w:val="Bullet 1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 w:hint="eastAsia"/>
        </w:rPr>
      </w:rPr>
    </w:lvl>
  </w:abstractNum>
  <w:abstractNum w:abstractNumId="17">
    <w:multiLevelType w:val="singleLevel"/>
    <w:name w:val="Bullet 17"/>
    <w:lvl w:ilvl="0">
      <w:numFmt w:val="bullet"/>
      <w:lvlText w:val="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18">
    <w:multiLevelType w:val="singleLevel"/>
    <w:name w:val="Bullet 1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19">
    <w:multiLevelType w:val="singleLevel"/>
    <w:name w:val="Bullet 19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20">
    <w:multiLevelType w:val="singleLevel"/>
    <w:name w:val="Bullet 20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21">
    <w:multiLevelType w:val="singleLevel"/>
    <w:name w:val="Bullet 21"/>
    <w:lvl w:ilvl="0">
      <w:start w:val="1"/>
      <w:numFmt w:val="chineseCounting"/>
      <w:lvlText w:val="%1"/>
      <w:lvlJc w:val="left"/>
      <w:pPr>
        <w:tabs>
          <w:tab w:val="num" w:pos="0"/>
        </w:tabs>
        <w:ind w:left="0" w:hanging="0"/>
      </w:pPr>
      <w:rPr>
        <w:rPr>
          <w:rFonts w:eastAsia="微软雅黑" w:cs="Times New Roman" w:hint="eastAsia"/>
          <w:b/>
          <w:sz w:val="28"/>
        </w:rPr>
      </w:rPr>
    </w:lvl>
  </w:abstractNum>
  <w:abstractNum w:abstractNumId="22">
    <w:multiLevelType w:val="singleLevel"/>
    <w:name w:val="Bullet 22"/>
    <w:lvl w:ilvl="0">
      <w:numFmt w:val="bullet"/>
      <w:lvlText w:val="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23">
    <w:multiLevelType w:val="singleLevel"/>
    <w:name w:val="Bullet 23"/>
    <w:lvl w:ilvl="0">
      <w:numFmt w:val="bullet"/>
      <w:lvlText w:val="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05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3"/>
    <o:shapelayout v:ext="edit">
      <o:rules v:ext="edit">
        <o:r id="V:Rule2" type="callout" idref="#图例1"/>
        <o:r id="V:Rule4" type="callout" idref="#图例2"/>
        <o:r id="V:Rule6" type="callout" idref="#图例3"/>
      </o:rules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6"/>
    <w:tmLastPosSelect w:val="0"/>
    <w:tmLastPosFrameIdx w:val="402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  <w:tmAppRevision w:date="1610505103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numPr>
        <w:ilvl w:val="0"/>
        <w:numId w:val="0"/>
      </w:numPr>
      <w:spacing w:before="340" w:after="330" w:line="578" w:lineRule="auto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bCs/>
      <w:sz w:val="44"/>
      <w:szCs w:val="44"/>
    </w:rPr>
  </w:style>
  <w:style w:type="paragraph" w:styleId="2">
    <w:name w:val="heading 2"/>
    <w:qFormat/>
    <w:pPr>
      <w:numPr>
        <w:ilvl w:val="1"/>
        <w:numId w:val="2"/>
      </w:numPr>
      <w:ind w:left="575" w:hanging="575"/>
      <w:spacing w:before="260" w:after="260"/>
      <w:keepNext/>
      <w:outlineLvl w:val="1"/>
      <w:keepLines/>
      <w:tabs>
        <w:tab w:val="left" w:pos="992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 w:val="24"/>
      <w:szCs w:val="20"/>
    </w:rPr>
  </w:style>
  <w:style w:type="paragraph" w:styleId="3">
    <w:name w:val="heading 3"/>
    <w:qFormat/>
    <w:pPr>
      <w:numPr>
        <w:ilvl w:val="2"/>
        <w:numId w:val="2"/>
      </w:numPr>
      <w:ind w:left="720" w:hanging="720"/>
      <w:spacing w:before="260" w:after="260" w:line="415" w:lineRule="auto"/>
      <w:keepNext/>
      <w:outlineLvl w:val="2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bCs/>
      <w:sz w:val="32"/>
      <w:szCs w:val="32"/>
    </w:rPr>
  </w:style>
  <w:style w:type="paragraph" w:styleId="4">
    <w:name w:val="heading 4"/>
    <w:qFormat/>
    <w:pPr>
      <w:numPr>
        <w:ilvl w:val="3"/>
        <w:numId w:val="2"/>
      </w:numPr>
      <w:ind w:left="864" w:hanging="864"/>
      <w:spacing w:before="280" w:after="290" w:line="372" w:lineRule="auto"/>
      <w:keepNext/>
      <w:outlineLvl w:val="3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黑体"/>
      <w:b/>
      <w:sz w:val="28"/>
    </w:rPr>
  </w:style>
  <w:style w:type="paragraph" w:styleId="5">
    <w:name w:val="heading 5"/>
    <w:qFormat/>
    <w:pPr>
      <w:numPr>
        <w:ilvl w:val="4"/>
        <w:numId w:val="2"/>
      </w:numPr>
      <w:ind w:left="1008" w:hanging="1008"/>
      <w:spacing w:before="280" w:after="290" w:line="372" w:lineRule="auto"/>
      <w:keepNext/>
      <w:outlineLvl w:val="4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 w:val="28"/>
    </w:rPr>
  </w:style>
  <w:style w:type="paragraph" w:styleId="6">
    <w:name w:val="heading 6"/>
    <w:qFormat/>
    <w:pPr>
      <w:numPr>
        <w:ilvl w:val="5"/>
        <w:numId w:val="2"/>
      </w:numPr>
      <w:ind w:left="1151" w:hanging="1151"/>
      <w:spacing w:before="240" w:after="64" w:line="317" w:lineRule="auto"/>
      <w:keepNext/>
      <w:outlineLvl w:val="5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黑体"/>
      <w:b/>
      <w:sz w:val="24"/>
    </w:rPr>
  </w:style>
  <w:style w:type="paragraph" w:styleId="7">
    <w:name w:val="heading 7"/>
    <w:qFormat/>
    <w:pPr>
      <w:numPr>
        <w:ilvl w:val="6"/>
        <w:numId w:val="2"/>
      </w:numPr>
      <w:ind w:left="1296" w:hanging="1296"/>
      <w:spacing w:before="240" w:after="64" w:line="317" w:lineRule="auto"/>
      <w:keepNext/>
      <w:outlineLvl w:val="6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 w:val="24"/>
    </w:rPr>
  </w:style>
  <w:style w:type="paragraph" w:styleId="8">
    <w:name w:val="heading 8"/>
    <w:qFormat/>
    <w:pPr>
      <w:numPr>
        <w:ilvl w:val="7"/>
        <w:numId w:val="2"/>
      </w:numPr>
      <w:ind w:left="1440" w:hanging="1440"/>
      <w:spacing w:before="240" w:after="64" w:line="317" w:lineRule="auto"/>
      <w:keepNext/>
      <w:outlineLvl w:val="7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黑体"/>
      <w:sz w:val="24"/>
    </w:rPr>
  </w:style>
  <w:style w:type="paragraph" w:styleId="9">
    <w:name w:val="heading 9"/>
    <w:qFormat/>
    <w:pPr>
      <w:numPr>
        <w:ilvl w:val="8"/>
        <w:numId w:val="2"/>
      </w:numPr>
      <w:ind w:left="1583" w:hanging="1583"/>
      <w:spacing w:before="240" w:after="64" w:line="317" w:lineRule="auto"/>
      <w:keepNext/>
      <w:outlineLvl w:val="8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黑体"/>
    </w:rPr>
  </w:style>
  <w:style w:type="paragraph" w:styleId="">
    <w:name w:val="No Spacing"/>
    <w:qFormat/>
    <w:pPr>
      <w:spacing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2"/>
      <w:szCs w:val="22"/>
    </w:rPr>
  </w:style>
  <w:style w:type="paragraph" w:styleId="TOC">
    <w:name w:val="TOC Heading"/>
    <w:qFormat/>
    <w:basedOn w:val="1"/>
    <w:pPr>
      <w:spacing w:before="240" w:after="0" w:line="259" w:lineRule="auto"/>
      <w:jc w:val="left"/>
      <w:outlineLvl w:val="9"/>
      <w:widowControl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" w:customStyle="1">
    <w:name w:val="列出段落1"/>
    <w:qFormat/>
    <w:pPr>
      <w:ind w:left="720"/>
      <w:spacing w:after="200" w:line="276" w:lineRule="auto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cs="Calibri"/>
      <w:sz w:val="22"/>
      <w:szCs w:val="22"/>
      <w:lang w:val="it-it"/>
    </w:rPr>
  </w:style>
  <w:style w:type="paragraph" w:styleId="ListParagraph1" w:customStyle="1">
    <w:name w:val="List Paragraph1"/>
    <w:qFormat/>
    <w:pPr>
      <w:ind w:left="720"/>
      <w:spacing w:after="200" w:line="276" w:lineRule="auto"/>
      <w:contextualSpacing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2"/>
      <w:szCs w:val="22"/>
      <w:lang w:val="it-it"/>
    </w:rPr>
  </w:style>
  <w:style w:type="paragraph" w:styleId=":1.5" w:customStyle="1">
    <w:name w:val="样式 黑体 四号 行距: 1.5 倍行距"/>
    <w:qFormat/>
    <w:pPr>
      <w:ind w:firstLine="521"/>
      <w:spacing w:line="36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黑体" w:hAnsi="黑体" w:cs="黑体"/>
      <w:sz w:val="28"/>
      <w:szCs w:val="28"/>
    </w:rPr>
  </w:style>
  <w:style w:type="paragraph" w:styleId="2">
    <w:name w:val="toc 2"/>
    <w:qFormat/>
    <w:pPr>
      <w:ind w:left="420"/>
      <w:spacing w:line="400" w:lineRule="exact"/>
      <w:tabs>
        <w:tab w:val="left" w:pos="1050" w:leader="none"/>
        <w:tab w:val="right" w:pos="9742" w:leader="dot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HeaderRight" w:customStyle="1">
    <w:name w:val="Header Right"/>
    <w:qFormat/>
    <w:pPr>
      <w:spacing w:after="200" w:line="276" w:lineRule="auto"/>
      <w:jc w:val="right"/>
      <w:widowControl/>
      <w:tabs>
        <w:tab w:val="center" w:pos="4320" w:leader="none"/>
        <w:tab w:val="right" w:pos="8640" w:leader="none"/>
      </w:tabs>
      <w:pBdr>
        <w:top w:val="none" w:sz="0" w:space="3" w:color="000000"/>
        <w:left w:val="none" w:sz="0" w:space="3" w:color="000000"/>
        <w:bottom w:val="single" w:sz="4" w:space="18" w:color="7F7F7F"/>
        <w:right w:val="none" w:sz="0" w:space="3" w:color="000000"/>
        <w:between w:val="none" w:sz="0" w:space="0" w:color="000000"/>
      </w:pBdr>
      <w:shd w:val="none"/>
    </w:pPr>
    <w:rPr>
      <w:color w:val="7f7f7f"/>
      <w:sz w:val="20"/>
      <w:szCs w:val="20"/>
    </w:rPr>
  </w:style>
  <w:style w:type="paragraph" w:styleId="">
    <w:name w:val="List Paragraph"/>
    <w:qFormat/>
    <w:pPr>
      <w:ind w:firstLine="4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Normal Indent"/>
    <w:qFormat/>
    <w:pPr>
      <w:ind w:firstLine="4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 w:customStyle="1">
    <w:name w:val="功能图标"/>
    <w:qFormat/>
    <w:pPr>
      <w:numPr>
        <w:ilvl w:val="0"/>
        <w:numId w:val="0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Cs w:val="22"/>
    </w:rPr>
  </w:style>
  <w:style w:type="paragraph" w:styleId="1">
    <w:name w:val="toc 1"/>
    <w:qFormat/>
    <w:pPr>
      <w:spacing w:line="440" w:lineRule="exact"/>
      <w:tabs>
        <w:tab w:val="left" w:pos="1050" w:leader="none"/>
        <w:tab w:val="right" w:pos="9742" w:leader="dot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Balloon Text"/>
    <w:qFormat/>
    <w:rPr>
      <w:sz w:val="18"/>
      <w:szCs w:val="18"/>
    </w:rPr>
  </w:style>
  <w:style w:type="paragraph" w:styleId="">
    <w:name w:val="Body Text"/>
    <w:qFormat/>
    <w:pPr>
      <w:spacing w:after="1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Title"/>
    <w:qFormat/>
    <w:pPr>
      <w:spacing w:before="240" w:after="60"/>
      <w:jc w:val="center"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mbria" w:hAnsi="Cambria"/>
      <w:b/>
      <w:bCs/>
      <w:sz w:val="32"/>
      <w:szCs w:val="32"/>
    </w:rPr>
  </w:style>
  <w:style w:type="paragraph" w:styleId="2" w:customStyle="1">
    <w:name w:val="信息标题2"/>
    <w:qFormat/>
    <w:pPr>
      <w:spacing w:before="120" w:after="24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/>
      <w:b/>
      <w:bCs/>
      <w:szCs w:val="21"/>
    </w:rPr>
  </w:style>
  <w:style w:type="paragraph" w:styleId="()">
    <w:name w:val="Normal (Web)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</w:rPr>
  </w:style>
  <w:style w:type="paragraph" w:styleId="">
    <w:name w:val="Body Text Indent"/>
    <w:qFormat/>
    <w:pPr>
      <w:ind w:left="420"/>
      <w:spacing w:after="1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  <w:rPr>
      <w:kern w:val="0"/>
      <w:sz w:val="20"/>
      <w:szCs w:val="20"/>
    </w:rPr>
  </w:style>
  <w:style w:type="character" w:styleId="Heading1Char" w:customStyle="1">
    <w:name w:val="Heading 1 Char"/>
    <w:rPr>
      <w:b/>
      <w:sz w:val="44"/>
    </w:rPr>
  </w:style>
  <w:style w:type="character" w:styleId="Heading2Char" w:customStyle="1">
    <w:name w:val="Heading 2 Char"/>
    <w:rPr>
      <w:rFonts w:ascii="Cambria" w:hAnsi="Cambria" w:eastAsia="Cambria"/>
      <w:b/>
      <w:bCs/>
      <w:sz w:val="32"/>
      <w:szCs w:val="32"/>
    </w:rPr>
  </w:style>
  <w:style w:type="character" w:styleId="Heading3Char" w:customStyle="1">
    <w:name w:val="Heading 3 Char"/>
    <w:rPr>
      <w:b/>
      <w:bCs/>
      <w:sz w:val="32"/>
      <w:szCs w:val="32"/>
    </w:rPr>
  </w:style>
  <w:style w:type="character" w:styleId="Heading4Char" w:customStyle="1">
    <w:name w:val="Heading 4 Char"/>
    <w:rPr>
      <w:rFonts w:ascii="Cambria" w:hAnsi="Cambria" w:eastAsia="Cambria"/>
      <w:b/>
      <w:bCs/>
      <w:sz w:val="28"/>
      <w:szCs w:val="28"/>
    </w:rPr>
  </w:style>
  <w:style w:type="character" w:styleId="Heading5Char" w:customStyle="1">
    <w:name w:val="Heading 5 Char"/>
    <w:rPr>
      <w:b/>
      <w:bCs/>
      <w:sz w:val="28"/>
      <w:szCs w:val="28"/>
    </w:rPr>
  </w:style>
  <w:style w:type="character" w:styleId="Heading6Char" w:customStyle="1">
    <w:name w:val="Heading 6 Char"/>
    <w:rPr>
      <w:rFonts w:ascii="Cambria" w:hAnsi="Cambria" w:eastAsia="Cambria"/>
      <w:b/>
      <w:bCs/>
      <w:sz w:val="24"/>
    </w:rPr>
  </w:style>
  <w:style w:type="character" w:styleId="Heading7Char" w:customStyle="1">
    <w:name w:val="Heading 7 Char"/>
    <w:rPr>
      <w:b/>
      <w:bCs/>
      <w:sz w:val="24"/>
    </w:rPr>
  </w:style>
  <w:style w:type="character" w:styleId="Heading8Char" w:customStyle="1">
    <w:name w:val="Heading 8 Char"/>
    <w:rPr>
      <w:rFonts w:ascii="Cambria" w:hAnsi="Cambria" w:eastAsia="Cambria"/>
      <w:sz w:val="24"/>
    </w:rPr>
  </w:style>
  <w:style w:type="character" w:styleId="Heading9Char" w:customStyle="1">
    <w:name w:val="Heading 9 Char"/>
    <w:rPr>
      <w:rFonts w:ascii="Cambria" w:hAnsi="Cambria" w:eastAsia="Cambria"/>
      <w:szCs w:val="21"/>
    </w:rPr>
  </w:style>
  <w:style w:type="character" w:styleId="Char" w:customStyle="1">
    <w:name w:val="功能图标 Char"/>
    <w:rPr>
      <w:sz w:val="22"/>
      <w:szCs w:val="20"/>
    </w:rPr>
  </w:style>
  <w:style w:type="character" w:styleId="NoSpacingChar" w:customStyle="1">
    <w:name w:val="No Spacing Char"/>
    <w:rPr>
      <w:kern w:val="0"/>
      <w:sz w:val="22"/>
      <w:szCs w:val="20"/>
    </w:rPr>
  </w:style>
  <w:style w:type="character" w:styleId="HeaderChar" w:customStyle="1">
    <w:name w:val="Header Char"/>
    <w:rPr>
      <w:sz w:val="18"/>
      <w:szCs w:val="20"/>
    </w:rPr>
  </w:style>
  <w:style w:type="character" w:styleId="TOC2Char" w:customStyle="1">
    <w:name w:val="TOC 2 Char"/>
    <w:rPr>
      <w:kern w:val="0"/>
      <w:sz w:val="20"/>
      <w:szCs w:val="20"/>
    </w:rPr>
  </w:style>
  <w:style w:type="character" w:styleId="web-item2" w:customStyle="1">
    <w:name w:val="web-item2"/>
    <w:rPr>
      <w:kern w:val="0"/>
      <w:sz w:val="20"/>
      <w:szCs w:val="20"/>
    </w:rPr>
  </w:style>
  <w:style w:type="character" w:styleId="TitleChar" w:customStyle="1">
    <w:name w:val="Title Char"/>
    <w:rPr>
      <w:rFonts w:ascii="Cambria" w:hAnsi="Cambria"/>
      <w:b/>
      <w:sz w:val="32"/>
      <w:szCs w:val="20"/>
    </w:rPr>
  </w:style>
  <w:style w:type="character" w:styleId="FooterChar" w:customStyle="1">
    <w:name w:val="Footer Char"/>
    <w:rPr>
      <w:sz w:val="18"/>
      <w:szCs w:val="20"/>
    </w:rPr>
  </w:style>
  <w:style w:type="character" w:styleId="BalloonTextChar" w:customStyle="1">
    <w:name w:val="Balloon Text Char"/>
    <w:rPr>
      <w:sz w:val="18"/>
      <w:szCs w:val="20"/>
    </w:rPr>
  </w:style>
  <w:style w:type="character" w:styleId="Char1" w:customStyle="1">
    <w:name w:val="标题 Char1"/>
    <w:rPr>
      <w:rFonts w:ascii="Cambria" w:hAnsi="Cambria"/>
      <w:b/>
      <w:sz w:val="32"/>
      <w:szCs w:val="20"/>
    </w:rPr>
  </w:style>
  <w:style w:type="character" w:styleId="apple-converted-space" w:customStyle="1">
    <w:name w:val="apple-converted-space"/>
    <w:rPr>
      <w:kern w:val="0"/>
      <w:sz w:val="20"/>
      <w:szCs w:val="20"/>
    </w:rPr>
  </w:style>
  <w:style w:type="character" w:styleId="">
    <w:name w:val="Hyperlink"/>
    <w:rPr>
      <w:color w:val="0000ff"/>
      <w:u w:color="auto" w:val="single"/>
    </w:rPr>
  </w:style>
  <w:style w:type="character" w:styleId="FooterChar1" w:customStyle="1">
    <w:name w:val="Footer Char1"/>
    <w:rPr>
      <w:sz w:val="18"/>
      <w:szCs w:val="18"/>
    </w:rPr>
  </w:style>
  <w:style w:type="character" w:styleId="BalloonTextChar1" w:customStyle="1">
    <w:name w:val="Balloon Text Char1"/>
    <w:rPr>
      <w:kern w:val="0"/>
      <w:sz w:val="20"/>
      <w:szCs w:val="20"/>
    </w:rPr>
  </w:style>
  <w:style w:type="character" w:styleId="BodyTextChar" w:customStyle="1">
    <w:name w:val="Body Text Char"/>
  </w:style>
  <w:style w:type="character" w:styleId="TitleChar1" w:customStyle="1">
    <w:name w:val="Title Char1"/>
    <w:rPr>
      <w:rFonts w:ascii="Cambria" w:hAnsi="Cambria"/>
      <w:b/>
      <w:bCs/>
      <w:sz w:val="32"/>
      <w:szCs w:val="32"/>
    </w:rPr>
  </w:style>
  <w:style w:type="character" w:styleId="HeaderChar1" w:customStyle="1">
    <w:name w:val="Header Char1"/>
    <w:rPr>
      <w:sz w:val="18"/>
      <w:szCs w:val="18"/>
    </w:rPr>
  </w:style>
  <w:style w:type="character" w:styleId="BodyTextIndentChar" w:customStyle="1">
    <w:name w:val="Body Text Indent Cha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numPr>
        <w:ilvl w:val="0"/>
        <w:numId w:val="0"/>
      </w:numPr>
      <w:spacing w:before="340" w:after="330" w:line="578" w:lineRule="auto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bCs/>
      <w:sz w:val="44"/>
      <w:szCs w:val="44"/>
    </w:rPr>
  </w:style>
  <w:style w:type="paragraph" w:styleId="2">
    <w:name w:val="heading 2"/>
    <w:qFormat/>
    <w:pPr>
      <w:numPr>
        <w:ilvl w:val="1"/>
        <w:numId w:val="2"/>
      </w:numPr>
      <w:ind w:left="575" w:hanging="575"/>
      <w:spacing w:before="260" w:after="260"/>
      <w:keepNext/>
      <w:outlineLvl w:val="1"/>
      <w:keepLines/>
      <w:tabs>
        <w:tab w:val="left" w:pos="992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 w:val="24"/>
      <w:szCs w:val="20"/>
    </w:rPr>
  </w:style>
  <w:style w:type="paragraph" w:styleId="3">
    <w:name w:val="heading 3"/>
    <w:qFormat/>
    <w:pPr>
      <w:numPr>
        <w:ilvl w:val="2"/>
        <w:numId w:val="2"/>
      </w:numPr>
      <w:ind w:left="720" w:hanging="720"/>
      <w:spacing w:before="260" w:after="260" w:line="415" w:lineRule="auto"/>
      <w:keepNext/>
      <w:outlineLvl w:val="2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bCs/>
      <w:sz w:val="32"/>
      <w:szCs w:val="32"/>
    </w:rPr>
  </w:style>
  <w:style w:type="paragraph" w:styleId="4">
    <w:name w:val="heading 4"/>
    <w:qFormat/>
    <w:pPr>
      <w:numPr>
        <w:ilvl w:val="3"/>
        <w:numId w:val="2"/>
      </w:numPr>
      <w:ind w:left="864" w:hanging="864"/>
      <w:spacing w:before="280" w:after="290" w:line="372" w:lineRule="auto"/>
      <w:keepNext/>
      <w:outlineLvl w:val="3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黑体"/>
      <w:b/>
      <w:sz w:val="28"/>
    </w:rPr>
  </w:style>
  <w:style w:type="paragraph" w:styleId="5">
    <w:name w:val="heading 5"/>
    <w:qFormat/>
    <w:pPr>
      <w:numPr>
        <w:ilvl w:val="4"/>
        <w:numId w:val="2"/>
      </w:numPr>
      <w:ind w:left="1008" w:hanging="1008"/>
      <w:spacing w:before="280" w:after="290" w:line="372" w:lineRule="auto"/>
      <w:keepNext/>
      <w:outlineLvl w:val="4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 w:val="28"/>
    </w:rPr>
  </w:style>
  <w:style w:type="paragraph" w:styleId="6">
    <w:name w:val="heading 6"/>
    <w:qFormat/>
    <w:pPr>
      <w:numPr>
        <w:ilvl w:val="5"/>
        <w:numId w:val="2"/>
      </w:numPr>
      <w:ind w:left="1151" w:hanging="1151"/>
      <w:spacing w:before="240" w:after="64" w:line="317" w:lineRule="auto"/>
      <w:keepNext/>
      <w:outlineLvl w:val="5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黑体"/>
      <w:b/>
      <w:sz w:val="24"/>
    </w:rPr>
  </w:style>
  <w:style w:type="paragraph" w:styleId="7">
    <w:name w:val="heading 7"/>
    <w:qFormat/>
    <w:pPr>
      <w:numPr>
        <w:ilvl w:val="6"/>
        <w:numId w:val="2"/>
      </w:numPr>
      <w:ind w:left="1296" w:hanging="1296"/>
      <w:spacing w:before="240" w:after="64" w:line="317" w:lineRule="auto"/>
      <w:keepNext/>
      <w:outlineLvl w:val="6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 w:val="24"/>
    </w:rPr>
  </w:style>
  <w:style w:type="paragraph" w:styleId="8">
    <w:name w:val="heading 8"/>
    <w:qFormat/>
    <w:pPr>
      <w:numPr>
        <w:ilvl w:val="7"/>
        <w:numId w:val="2"/>
      </w:numPr>
      <w:ind w:left="1440" w:hanging="1440"/>
      <w:spacing w:before="240" w:after="64" w:line="317" w:lineRule="auto"/>
      <w:keepNext/>
      <w:outlineLvl w:val="7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黑体"/>
      <w:sz w:val="24"/>
    </w:rPr>
  </w:style>
  <w:style w:type="paragraph" w:styleId="9">
    <w:name w:val="heading 9"/>
    <w:qFormat/>
    <w:pPr>
      <w:numPr>
        <w:ilvl w:val="8"/>
        <w:numId w:val="2"/>
      </w:numPr>
      <w:ind w:left="1583" w:hanging="1583"/>
      <w:spacing w:before="240" w:after="64" w:line="317" w:lineRule="auto"/>
      <w:keepNext/>
      <w:outlineLvl w:val="8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黑体"/>
    </w:rPr>
  </w:style>
  <w:style w:type="paragraph" w:styleId="">
    <w:name w:val="No Spacing"/>
    <w:qFormat/>
    <w:pPr>
      <w:spacing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2"/>
      <w:szCs w:val="22"/>
    </w:rPr>
  </w:style>
  <w:style w:type="paragraph" w:styleId="TOC">
    <w:name w:val="TOC Heading"/>
    <w:qFormat/>
    <w:basedOn w:val="1"/>
    <w:pPr>
      <w:spacing w:before="240" w:after="0" w:line="259" w:lineRule="auto"/>
      <w:jc w:val="left"/>
      <w:outlineLvl w:val="9"/>
      <w:widowControl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" w:customStyle="1">
    <w:name w:val="列出段落1"/>
    <w:qFormat/>
    <w:pPr>
      <w:ind w:left="720"/>
      <w:spacing w:after="200" w:line="276" w:lineRule="auto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cs="Calibri"/>
      <w:sz w:val="22"/>
      <w:szCs w:val="22"/>
      <w:lang w:val="it-it"/>
    </w:rPr>
  </w:style>
  <w:style w:type="paragraph" w:styleId="ListParagraph1" w:customStyle="1">
    <w:name w:val="List Paragraph1"/>
    <w:qFormat/>
    <w:pPr>
      <w:ind w:left="720"/>
      <w:spacing w:after="200" w:line="276" w:lineRule="auto"/>
      <w:contextualSpacing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2"/>
      <w:szCs w:val="22"/>
      <w:lang w:val="it-it"/>
    </w:rPr>
  </w:style>
  <w:style w:type="paragraph" w:styleId=":1.5" w:customStyle="1">
    <w:name w:val="样式 黑体 四号 行距: 1.5 倍行距"/>
    <w:qFormat/>
    <w:pPr>
      <w:ind w:firstLine="521"/>
      <w:spacing w:line="36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黑体" w:hAnsi="黑体" w:cs="黑体"/>
      <w:sz w:val="28"/>
      <w:szCs w:val="28"/>
    </w:rPr>
  </w:style>
  <w:style w:type="paragraph" w:styleId="2">
    <w:name w:val="toc 2"/>
    <w:qFormat/>
    <w:pPr>
      <w:ind w:left="420"/>
      <w:spacing w:line="400" w:lineRule="exact"/>
      <w:tabs>
        <w:tab w:val="left" w:pos="1050" w:leader="none"/>
        <w:tab w:val="right" w:pos="9742" w:leader="dot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HeaderRight" w:customStyle="1">
    <w:name w:val="Header Right"/>
    <w:qFormat/>
    <w:pPr>
      <w:spacing w:after="200" w:line="276" w:lineRule="auto"/>
      <w:jc w:val="right"/>
      <w:widowControl/>
      <w:tabs>
        <w:tab w:val="center" w:pos="4320" w:leader="none"/>
        <w:tab w:val="right" w:pos="8640" w:leader="none"/>
      </w:tabs>
      <w:pBdr>
        <w:top w:val="none" w:sz="0" w:space="3" w:color="000000"/>
        <w:left w:val="none" w:sz="0" w:space="3" w:color="000000"/>
        <w:bottom w:val="single" w:sz="4" w:space="18" w:color="7F7F7F"/>
        <w:right w:val="none" w:sz="0" w:space="3" w:color="000000"/>
        <w:between w:val="none" w:sz="0" w:space="0" w:color="000000"/>
      </w:pBdr>
      <w:shd w:val="none"/>
    </w:pPr>
    <w:rPr>
      <w:color w:val="7f7f7f"/>
      <w:sz w:val="20"/>
      <w:szCs w:val="20"/>
    </w:rPr>
  </w:style>
  <w:style w:type="paragraph" w:styleId="">
    <w:name w:val="List Paragraph"/>
    <w:qFormat/>
    <w:pPr>
      <w:ind w:firstLine="4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Normal Indent"/>
    <w:qFormat/>
    <w:pPr>
      <w:ind w:firstLine="4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 w:customStyle="1">
    <w:name w:val="功能图标"/>
    <w:qFormat/>
    <w:pPr>
      <w:numPr>
        <w:ilvl w:val="0"/>
        <w:numId w:val="0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Cs w:val="22"/>
    </w:rPr>
  </w:style>
  <w:style w:type="paragraph" w:styleId="1">
    <w:name w:val="toc 1"/>
    <w:qFormat/>
    <w:pPr>
      <w:spacing w:line="440" w:lineRule="exact"/>
      <w:tabs>
        <w:tab w:val="left" w:pos="1050" w:leader="none"/>
        <w:tab w:val="right" w:pos="9742" w:leader="dot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Balloon Text"/>
    <w:qFormat/>
    <w:rPr>
      <w:sz w:val="18"/>
      <w:szCs w:val="18"/>
    </w:rPr>
  </w:style>
  <w:style w:type="paragraph" w:styleId="">
    <w:name w:val="Body Text"/>
    <w:qFormat/>
    <w:pPr>
      <w:spacing w:after="1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Title"/>
    <w:qFormat/>
    <w:pPr>
      <w:spacing w:before="240" w:after="60"/>
      <w:jc w:val="center"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mbria" w:hAnsi="Cambria"/>
      <w:b/>
      <w:bCs/>
      <w:sz w:val="32"/>
      <w:szCs w:val="32"/>
    </w:rPr>
  </w:style>
  <w:style w:type="paragraph" w:styleId="2" w:customStyle="1">
    <w:name w:val="信息标题2"/>
    <w:qFormat/>
    <w:pPr>
      <w:spacing w:before="120" w:after="24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/>
      <w:b/>
      <w:bCs/>
      <w:szCs w:val="21"/>
    </w:rPr>
  </w:style>
  <w:style w:type="paragraph" w:styleId="()">
    <w:name w:val="Normal (Web)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</w:rPr>
  </w:style>
  <w:style w:type="paragraph" w:styleId="">
    <w:name w:val="Body Text Indent"/>
    <w:qFormat/>
    <w:pPr>
      <w:ind w:left="420"/>
      <w:spacing w:after="1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  <w:rPr>
      <w:kern w:val="0"/>
      <w:sz w:val="20"/>
      <w:szCs w:val="20"/>
    </w:rPr>
  </w:style>
  <w:style w:type="character" w:styleId="Heading1Char" w:customStyle="1">
    <w:name w:val="Heading 1 Char"/>
    <w:rPr>
      <w:b/>
      <w:sz w:val="44"/>
    </w:rPr>
  </w:style>
  <w:style w:type="character" w:styleId="Heading2Char" w:customStyle="1">
    <w:name w:val="Heading 2 Char"/>
    <w:rPr>
      <w:rFonts w:ascii="Cambria" w:hAnsi="Cambria" w:eastAsia="Cambria"/>
      <w:b/>
      <w:bCs/>
      <w:sz w:val="32"/>
      <w:szCs w:val="32"/>
    </w:rPr>
  </w:style>
  <w:style w:type="character" w:styleId="Heading3Char" w:customStyle="1">
    <w:name w:val="Heading 3 Char"/>
    <w:rPr>
      <w:b/>
      <w:bCs/>
      <w:sz w:val="32"/>
      <w:szCs w:val="32"/>
    </w:rPr>
  </w:style>
  <w:style w:type="character" w:styleId="Heading4Char" w:customStyle="1">
    <w:name w:val="Heading 4 Char"/>
    <w:rPr>
      <w:rFonts w:ascii="Cambria" w:hAnsi="Cambria" w:eastAsia="Cambria"/>
      <w:b/>
      <w:bCs/>
      <w:sz w:val="28"/>
      <w:szCs w:val="28"/>
    </w:rPr>
  </w:style>
  <w:style w:type="character" w:styleId="Heading5Char" w:customStyle="1">
    <w:name w:val="Heading 5 Char"/>
    <w:rPr>
      <w:b/>
      <w:bCs/>
      <w:sz w:val="28"/>
      <w:szCs w:val="28"/>
    </w:rPr>
  </w:style>
  <w:style w:type="character" w:styleId="Heading6Char" w:customStyle="1">
    <w:name w:val="Heading 6 Char"/>
    <w:rPr>
      <w:rFonts w:ascii="Cambria" w:hAnsi="Cambria" w:eastAsia="Cambria"/>
      <w:b/>
      <w:bCs/>
      <w:sz w:val="24"/>
    </w:rPr>
  </w:style>
  <w:style w:type="character" w:styleId="Heading7Char" w:customStyle="1">
    <w:name w:val="Heading 7 Char"/>
    <w:rPr>
      <w:b/>
      <w:bCs/>
      <w:sz w:val="24"/>
    </w:rPr>
  </w:style>
  <w:style w:type="character" w:styleId="Heading8Char" w:customStyle="1">
    <w:name w:val="Heading 8 Char"/>
    <w:rPr>
      <w:rFonts w:ascii="Cambria" w:hAnsi="Cambria" w:eastAsia="Cambria"/>
      <w:sz w:val="24"/>
    </w:rPr>
  </w:style>
  <w:style w:type="character" w:styleId="Heading9Char" w:customStyle="1">
    <w:name w:val="Heading 9 Char"/>
    <w:rPr>
      <w:rFonts w:ascii="Cambria" w:hAnsi="Cambria" w:eastAsia="Cambria"/>
      <w:szCs w:val="21"/>
    </w:rPr>
  </w:style>
  <w:style w:type="character" w:styleId="Char" w:customStyle="1">
    <w:name w:val="功能图标 Char"/>
    <w:rPr>
      <w:sz w:val="22"/>
      <w:szCs w:val="20"/>
    </w:rPr>
  </w:style>
  <w:style w:type="character" w:styleId="NoSpacingChar" w:customStyle="1">
    <w:name w:val="No Spacing Char"/>
    <w:rPr>
      <w:kern w:val="0"/>
      <w:sz w:val="22"/>
      <w:szCs w:val="20"/>
    </w:rPr>
  </w:style>
  <w:style w:type="character" w:styleId="HeaderChar" w:customStyle="1">
    <w:name w:val="Header Char"/>
    <w:rPr>
      <w:sz w:val="18"/>
      <w:szCs w:val="20"/>
    </w:rPr>
  </w:style>
  <w:style w:type="character" w:styleId="TOC2Char" w:customStyle="1">
    <w:name w:val="TOC 2 Char"/>
    <w:rPr>
      <w:kern w:val="0"/>
      <w:sz w:val="20"/>
      <w:szCs w:val="20"/>
    </w:rPr>
  </w:style>
  <w:style w:type="character" w:styleId="web-item2" w:customStyle="1">
    <w:name w:val="web-item2"/>
    <w:rPr>
      <w:kern w:val="0"/>
      <w:sz w:val="20"/>
      <w:szCs w:val="20"/>
    </w:rPr>
  </w:style>
  <w:style w:type="character" w:styleId="TitleChar" w:customStyle="1">
    <w:name w:val="Title Char"/>
    <w:rPr>
      <w:rFonts w:ascii="Cambria" w:hAnsi="Cambria"/>
      <w:b/>
      <w:sz w:val="32"/>
      <w:szCs w:val="20"/>
    </w:rPr>
  </w:style>
  <w:style w:type="character" w:styleId="FooterChar" w:customStyle="1">
    <w:name w:val="Footer Char"/>
    <w:rPr>
      <w:sz w:val="18"/>
      <w:szCs w:val="20"/>
    </w:rPr>
  </w:style>
  <w:style w:type="character" w:styleId="BalloonTextChar" w:customStyle="1">
    <w:name w:val="Balloon Text Char"/>
    <w:rPr>
      <w:sz w:val="18"/>
      <w:szCs w:val="20"/>
    </w:rPr>
  </w:style>
  <w:style w:type="character" w:styleId="Char1" w:customStyle="1">
    <w:name w:val="标题 Char1"/>
    <w:rPr>
      <w:rFonts w:ascii="Cambria" w:hAnsi="Cambria"/>
      <w:b/>
      <w:sz w:val="32"/>
      <w:szCs w:val="20"/>
    </w:rPr>
  </w:style>
  <w:style w:type="character" w:styleId="apple-converted-space" w:customStyle="1">
    <w:name w:val="apple-converted-space"/>
    <w:rPr>
      <w:kern w:val="0"/>
      <w:sz w:val="20"/>
      <w:szCs w:val="20"/>
    </w:rPr>
  </w:style>
  <w:style w:type="character" w:styleId="">
    <w:name w:val="Hyperlink"/>
    <w:rPr>
      <w:color w:val="0000ff"/>
      <w:u w:color="auto" w:val="single"/>
    </w:rPr>
  </w:style>
  <w:style w:type="character" w:styleId="FooterChar1" w:customStyle="1">
    <w:name w:val="Footer Char1"/>
    <w:rPr>
      <w:sz w:val="18"/>
      <w:szCs w:val="18"/>
    </w:rPr>
  </w:style>
  <w:style w:type="character" w:styleId="BalloonTextChar1" w:customStyle="1">
    <w:name w:val="Balloon Text Char1"/>
    <w:rPr>
      <w:kern w:val="0"/>
      <w:sz w:val="20"/>
      <w:szCs w:val="20"/>
    </w:rPr>
  </w:style>
  <w:style w:type="character" w:styleId="BodyTextChar" w:customStyle="1">
    <w:name w:val="Body Text Char"/>
  </w:style>
  <w:style w:type="character" w:styleId="TitleChar1" w:customStyle="1">
    <w:name w:val="Title Char1"/>
    <w:rPr>
      <w:rFonts w:ascii="Cambria" w:hAnsi="Cambria"/>
      <w:b/>
      <w:bCs/>
      <w:sz w:val="32"/>
      <w:szCs w:val="32"/>
    </w:rPr>
  </w:style>
  <w:style w:type="character" w:styleId="HeaderChar1" w:customStyle="1">
    <w:name w:val="Header Char1"/>
    <w:rPr>
      <w:sz w:val="18"/>
      <w:szCs w:val="18"/>
    </w:rPr>
  </w:style>
  <w:style w:type="character" w:styleId="BodyTextIndentChar" w:customStyle="1">
    <w:name w:val="Body Text Indent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宋体"/>
        <a:cs typeface="Times New Roman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刀盘机产品说明书</dc:title>
  <dc:subject/>
  <dc:creator>莫介勇15362080890</dc:creator>
  <cp:keywords/>
  <dc:description/>
  <cp:lastModifiedBy/>
  <cp:revision>8</cp:revision>
  <cp:lastPrinted>2016-10-27T06:01:00Z</cp:lastPrinted>
  <dcterms:created xsi:type="dcterms:W3CDTF">2020-10-13T08:18:00Z</dcterms:created>
  <dcterms:modified xsi:type="dcterms:W3CDTF">2021-01-13T10:31:43Z</dcterms:modified>
</cp:coreProperties>
</file>